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0ADF" w:rsidRPr="00A00FE0" w:rsidRDefault="00F53373">
      <w:pPr>
        <w:pStyle w:val="Title"/>
        <w:keepNext w:val="0"/>
        <w:keepLines w:val="0"/>
        <w:spacing w:after="420" w:line="264" w:lineRule="auto"/>
        <w:contextualSpacing w:val="0"/>
        <w:rPr>
          <w:lang w:val="en-US"/>
        </w:rPr>
      </w:pPr>
      <w:bookmarkStart w:id="0" w:name="_72hqknegzxxp" w:colFirst="0" w:colLast="0"/>
      <w:bookmarkStart w:id="1" w:name="_GoBack"/>
      <w:bookmarkEnd w:id="0"/>
      <w:bookmarkEnd w:id="1"/>
      <w:r w:rsidRPr="00A00FE0">
        <w:rPr>
          <w:lang w:val="en-US"/>
        </w:rPr>
        <w:t xml:space="preserve">RDA-WG on Fisheries Data Interoperability </w:t>
      </w:r>
    </w:p>
    <w:p w:rsidR="000D0ADF" w:rsidRPr="00A00FE0" w:rsidRDefault="00F53373">
      <w:pPr>
        <w:spacing w:before="80" w:line="240" w:lineRule="auto"/>
        <w:rPr>
          <w:lang w:val="en-US"/>
        </w:rPr>
      </w:pPr>
      <w:hyperlink w:anchor="_iyy46d9jkvub">
        <w:r w:rsidRPr="00A00FE0">
          <w:rPr>
            <w:color w:val="1155CC"/>
            <w:u w:val="single"/>
            <w:lang w:val="en-US"/>
          </w:rPr>
          <w:t>WG Charter</w:t>
        </w:r>
      </w:hyperlink>
    </w:p>
    <w:p w:rsidR="000D0ADF" w:rsidRPr="00A00FE0" w:rsidRDefault="00F53373">
      <w:pPr>
        <w:spacing w:before="200" w:line="240" w:lineRule="auto"/>
        <w:rPr>
          <w:lang w:val="en-US"/>
        </w:rPr>
      </w:pPr>
      <w:hyperlink w:anchor="_e2dqc8cikj4">
        <w:r w:rsidRPr="00A00FE0">
          <w:rPr>
            <w:color w:val="1155CC"/>
            <w:u w:val="single"/>
            <w:lang w:val="en-US"/>
          </w:rPr>
          <w:t>Value Proposition</w:t>
        </w:r>
      </w:hyperlink>
    </w:p>
    <w:p w:rsidR="000D0ADF" w:rsidRPr="00A00FE0" w:rsidRDefault="00F53373">
      <w:pPr>
        <w:spacing w:before="200" w:line="240" w:lineRule="auto"/>
        <w:rPr>
          <w:lang w:val="en-US"/>
        </w:rPr>
      </w:pPr>
      <w:hyperlink w:anchor="_pyucqjgcul5w">
        <w:r w:rsidRPr="00A00FE0">
          <w:rPr>
            <w:color w:val="1155CC"/>
            <w:u w:val="single"/>
            <w:lang w:val="en-US"/>
          </w:rPr>
          <w:t>Engagement with existing work in the area:</w:t>
        </w:r>
      </w:hyperlink>
    </w:p>
    <w:p w:rsidR="000D0ADF" w:rsidRPr="00A00FE0" w:rsidRDefault="00F53373">
      <w:pPr>
        <w:spacing w:before="200" w:line="240" w:lineRule="auto"/>
        <w:rPr>
          <w:lang w:val="en-US"/>
        </w:rPr>
      </w:pPr>
      <w:hyperlink w:anchor="_pgvcbk9709zx">
        <w:r w:rsidRPr="00A00FE0">
          <w:rPr>
            <w:color w:val="1155CC"/>
            <w:u w:val="single"/>
            <w:lang w:val="en-US"/>
          </w:rPr>
          <w:t>Work Plan</w:t>
        </w:r>
      </w:hyperlink>
    </w:p>
    <w:p w:rsidR="000D0ADF" w:rsidRPr="00A00FE0" w:rsidRDefault="00F53373">
      <w:pPr>
        <w:spacing w:before="60" w:line="240" w:lineRule="auto"/>
        <w:ind w:left="360"/>
        <w:rPr>
          <w:lang w:val="en-US"/>
        </w:rPr>
      </w:pPr>
      <w:hyperlink w:anchor="_2qh9yawqomc0">
        <w:r w:rsidRPr="00A00FE0">
          <w:rPr>
            <w:color w:val="1155CC"/>
            <w:u w:val="single"/>
            <w:lang w:val="en-US"/>
          </w:rPr>
          <w:t>Work plan components</w:t>
        </w:r>
      </w:hyperlink>
    </w:p>
    <w:p w:rsidR="000D0ADF" w:rsidRPr="00A00FE0" w:rsidRDefault="00F53373">
      <w:pPr>
        <w:spacing w:before="60" w:line="240" w:lineRule="auto"/>
        <w:ind w:left="720"/>
        <w:rPr>
          <w:lang w:val="en-US"/>
        </w:rPr>
      </w:pPr>
      <w:hyperlink w:anchor="_5mbcf518ebkr">
        <w:r w:rsidRPr="00A00FE0">
          <w:rPr>
            <w:color w:val="1155CC"/>
            <w:u w:val="single"/>
            <w:lang w:val="en-US"/>
          </w:rPr>
          <w:t>Inventory of existing formats to support solutions (months 1-4)</w:t>
        </w:r>
      </w:hyperlink>
    </w:p>
    <w:p w:rsidR="000D0ADF" w:rsidRPr="00A00FE0" w:rsidRDefault="00F53373">
      <w:pPr>
        <w:spacing w:before="60" w:line="240" w:lineRule="auto"/>
        <w:ind w:left="720"/>
        <w:rPr>
          <w:lang w:val="en-US"/>
        </w:rPr>
      </w:pPr>
      <w:hyperlink w:anchor="_go2f40i34sgs">
        <w:r w:rsidRPr="00A00FE0">
          <w:rPr>
            <w:color w:val="1155CC"/>
            <w:u w:val="single"/>
            <w:lang w:val="en-US"/>
          </w:rPr>
          <w:t>Defining the refere</w:t>
        </w:r>
        <w:r w:rsidRPr="00A00FE0">
          <w:rPr>
            <w:color w:val="1155CC"/>
            <w:u w:val="single"/>
            <w:lang w:val="en-US"/>
          </w:rPr>
          <w:t>nce models (months 3-8)</w:t>
        </w:r>
      </w:hyperlink>
    </w:p>
    <w:p w:rsidR="000D0ADF" w:rsidRPr="00A00FE0" w:rsidRDefault="00F53373">
      <w:pPr>
        <w:spacing w:before="60" w:line="240" w:lineRule="auto"/>
        <w:ind w:left="720"/>
        <w:rPr>
          <w:lang w:val="en-US"/>
        </w:rPr>
      </w:pPr>
      <w:hyperlink w:anchor="_2izn46xlnwi3">
        <w:r w:rsidRPr="00A00FE0">
          <w:rPr>
            <w:color w:val="1155CC"/>
            <w:u w:val="single"/>
            <w:lang w:val="en-US"/>
          </w:rPr>
          <w:t>Improve and test the models iteratively (months 7-12)</w:t>
        </w:r>
      </w:hyperlink>
    </w:p>
    <w:p w:rsidR="000D0ADF" w:rsidRPr="00A00FE0" w:rsidRDefault="00F53373">
      <w:pPr>
        <w:spacing w:before="60" w:line="240" w:lineRule="auto"/>
        <w:ind w:left="720"/>
        <w:rPr>
          <w:lang w:val="en-US"/>
        </w:rPr>
      </w:pPr>
      <w:hyperlink w:anchor="_9bk0coasa00t">
        <w:r w:rsidRPr="00A00FE0">
          <w:rPr>
            <w:color w:val="1155CC"/>
            <w:u w:val="single"/>
            <w:lang w:val="en-US"/>
          </w:rPr>
          <w:t>Promotion of the RDA FDI Model and Reference Adoption</w:t>
        </w:r>
      </w:hyperlink>
    </w:p>
    <w:p w:rsidR="000D0ADF" w:rsidRPr="00A00FE0" w:rsidRDefault="00F53373">
      <w:pPr>
        <w:spacing w:before="60" w:line="240" w:lineRule="auto"/>
        <w:ind w:left="720"/>
        <w:rPr>
          <w:lang w:val="en-US"/>
        </w:rPr>
      </w:pPr>
      <w:hyperlink w:anchor="_d12thy3ojkmy">
        <w:r w:rsidRPr="00A00FE0">
          <w:rPr>
            <w:color w:val="1155CC"/>
            <w:u w:val="single"/>
            <w:lang w:val="en-US"/>
          </w:rPr>
          <w:t>(</w:t>
        </w:r>
        <w:proofErr w:type="gramStart"/>
        <w:r w:rsidRPr="00A00FE0">
          <w:rPr>
            <w:color w:val="1155CC"/>
            <w:u w:val="single"/>
            <w:lang w:val="en-US"/>
          </w:rPr>
          <w:t>months</w:t>
        </w:r>
        <w:proofErr w:type="gramEnd"/>
        <w:r w:rsidRPr="00A00FE0">
          <w:rPr>
            <w:color w:val="1155CC"/>
            <w:u w:val="single"/>
            <w:lang w:val="en-US"/>
          </w:rPr>
          <w:t xml:space="preserve"> 8-18)</w:t>
        </w:r>
      </w:hyperlink>
    </w:p>
    <w:p w:rsidR="000D0ADF" w:rsidRPr="00A00FE0" w:rsidRDefault="00F53373">
      <w:pPr>
        <w:spacing w:before="60" w:line="240" w:lineRule="auto"/>
        <w:ind w:left="360"/>
        <w:rPr>
          <w:lang w:val="en-US"/>
        </w:rPr>
      </w:pPr>
      <w:hyperlink w:anchor="_ymfyn9irg9jt">
        <w:r w:rsidRPr="00A00FE0">
          <w:rPr>
            <w:color w:val="1155CC"/>
            <w:u w:val="single"/>
            <w:lang w:val="en-US"/>
          </w:rPr>
          <w:t>WGFDI operation</w:t>
        </w:r>
      </w:hyperlink>
    </w:p>
    <w:p w:rsidR="000D0ADF" w:rsidRPr="00A00FE0" w:rsidRDefault="00F53373">
      <w:pPr>
        <w:spacing w:before="60" w:line="240" w:lineRule="auto"/>
        <w:ind w:left="720"/>
        <w:rPr>
          <w:lang w:val="en-US"/>
        </w:rPr>
      </w:pPr>
      <w:hyperlink w:anchor="_x26extpccdsl">
        <w:r w:rsidRPr="00A00FE0">
          <w:rPr>
            <w:color w:val="1155CC"/>
            <w:u w:val="single"/>
            <w:lang w:val="en-US"/>
          </w:rPr>
          <w:t>Form and description of final deliverables</w:t>
        </w:r>
      </w:hyperlink>
    </w:p>
    <w:p w:rsidR="000D0ADF" w:rsidRPr="00A00FE0" w:rsidRDefault="00F53373">
      <w:pPr>
        <w:spacing w:before="60" w:line="240" w:lineRule="auto"/>
        <w:ind w:left="720"/>
        <w:rPr>
          <w:lang w:val="en-US"/>
        </w:rPr>
      </w:pPr>
      <w:hyperlink w:anchor="_5a1j7xpwmzio">
        <w:r w:rsidRPr="00A00FE0">
          <w:rPr>
            <w:color w:val="1155CC"/>
            <w:u w:val="single"/>
            <w:lang w:val="en-US"/>
          </w:rPr>
          <w:t>Milestones</w:t>
        </w:r>
      </w:hyperlink>
    </w:p>
    <w:p w:rsidR="000D0ADF" w:rsidRPr="00A00FE0" w:rsidRDefault="00F53373">
      <w:pPr>
        <w:spacing w:before="60" w:line="240" w:lineRule="auto"/>
        <w:ind w:left="720"/>
        <w:rPr>
          <w:lang w:val="en-US"/>
        </w:rPr>
      </w:pPr>
      <w:hyperlink w:anchor="_76mu3awpo3ki">
        <w:r w:rsidRPr="00A00FE0">
          <w:rPr>
            <w:color w:val="1155CC"/>
            <w:u w:val="single"/>
            <w:lang w:val="en-US"/>
          </w:rPr>
          <w:t>Communication and outreach</w:t>
        </w:r>
      </w:hyperlink>
    </w:p>
    <w:p w:rsidR="000D0ADF" w:rsidRPr="00A00FE0" w:rsidRDefault="00F53373">
      <w:pPr>
        <w:spacing w:before="200" w:after="80" w:line="240" w:lineRule="auto"/>
        <w:rPr>
          <w:lang w:val="en-US"/>
        </w:rPr>
      </w:pPr>
      <w:hyperlink w:anchor="_s42yi7wbx4kk">
        <w:r w:rsidRPr="00A00FE0">
          <w:rPr>
            <w:color w:val="1155CC"/>
            <w:u w:val="single"/>
            <w:lang w:val="en-US"/>
          </w:rPr>
          <w:t>Initial Membership of the FDIWG</w:t>
        </w:r>
      </w:hyperlink>
    </w:p>
    <w:p w:rsidR="000D0ADF" w:rsidRPr="00A00FE0" w:rsidRDefault="00F53373">
      <w:pPr>
        <w:rPr>
          <w:lang w:val="en-US"/>
        </w:rPr>
      </w:pPr>
      <w:r w:rsidRPr="00A00FE0">
        <w:rPr>
          <w:lang w:val="en-US"/>
        </w:rPr>
        <w:t xml:space="preserve">  </w:t>
      </w:r>
      <w:r w:rsidRPr="00A00FE0">
        <w:rPr>
          <w:lang w:val="en-US"/>
        </w:rPr>
        <w:br w:type="page"/>
      </w:r>
    </w:p>
    <w:p w:rsidR="000D0ADF" w:rsidRPr="00A00FE0" w:rsidRDefault="000D0ADF">
      <w:pPr>
        <w:spacing w:before="160" w:after="160" w:line="384" w:lineRule="auto"/>
        <w:rPr>
          <w:lang w:val="en-US"/>
        </w:rPr>
      </w:pPr>
    </w:p>
    <w:p w:rsidR="000D0ADF" w:rsidRPr="00A00FE0" w:rsidRDefault="000D0ADF">
      <w:pPr>
        <w:rPr>
          <w:lang w:val="en-US"/>
        </w:rPr>
      </w:pPr>
    </w:p>
    <w:p w:rsidR="000D0ADF" w:rsidRPr="00A00FE0" w:rsidRDefault="00F53373">
      <w:pPr>
        <w:pStyle w:val="Title"/>
        <w:keepNext w:val="0"/>
        <w:keepLines w:val="0"/>
        <w:spacing w:after="300" w:line="264" w:lineRule="auto"/>
        <w:contextualSpacing w:val="0"/>
        <w:rPr>
          <w:lang w:val="en-US"/>
        </w:rPr>
      </w:pPr>
      <w:bookmarkStart w:id="2" w:name="_8qz5urwnulyl" w:colFirst="0" w:colLast="0"/>
      <w:bookmarkEnd w:id="2"/>
      <w:r w:rsidRPr="00A00FE0">
        <w:rPr>
          <w:lang w:val="en-US"/>
        </w:rPr>
        <w:t>WG Fisheries Data Interoperability: Case Statement</w:t>
      </w:r>
    </w:p>
    <w:p w:rsidR="000D0ADF" w:rsidRPr="00A00FE0" w:rsidRDefault="00F53373">
      <w:pPr>
        <w:pStyle w:val="Heading1"/>
        <w:spacing w:before="160" w:after="160" w:line="384" w:lineRule="auto"/>
        <w:contextualSpacing w:val="0"/>
        <w:rPr>
          <w:lang w:val="en-US"/>
        </w:rPr>
      </w:pPr>
      <w:bookmarkStart w:id="3" w:name="_iyy46d9jkvub" w:colFirst="0" w:colLast="0"/>
      <w:bookmarkEnd w:id="3"/>
      <w:r w:rsidRPr="00A00FE0">
        <w:rPr>
          <w:lang w:val="en-US"/>
        </w:rPr>
        <w:t>WG Charter</w:t>
      </w:r>
    </w:p>
    <w:p w:rsidR="000D0ADF" w:rsidRPr="00A00FE0" w:rsidRDefault="00F53373">
      <w:pPr>
        <w:spacing w:before="160" w:after="160" w:line="312" w:lineRule="auto"/>
        <w:rPr>
          <w:lang w:val="en-US"/>
        </w:rPr>
      </w:pPr>
      <w:r w:rsidRPr="00A00FE0">
        <w:rPr>
          <w:sz w:val="21"/>
          <w:szCs w:val="21"/>
          <w:highlight w:val="white"/>
          <w:lang w:val="en-US"/>
        </w:rPr>
        <w:t xml:space="preserve">The general </w:t>
      </w:r>
      <w:r w:rsidRPr="00A00FE0">
        <w:rPr>
          <w:b/>
          <w:sz w:val="21"/>
          <w:szCs w:val="21"/>
          <w:highlight w:val="white"/>
          <w:lang w:val="en-US"/>
        </w:rPr>
        <w:t xml:space="preserve">objective </w:t>
      </w:r>
      <w:r w:rsidRPr="00A00FE0">
        <w:rPr>
          <w:sz w:val="21"/>
          <w:szCs w:val="21"/>
          <w:highlight w:val="white"/>
          <w:lang w:val="en-US"/>
        </w:rPr>
        <w:t>of the Fisheries Data Interoperability Working Group (FDIWG) is to devise a global data exchange and integration framework to support scientific advice on stock status and exploitation that build on fisheries data. Various fisheries data domains utilized i</w:t>
      </w:r>
      <w:r w:rsidRPr="00A00FE0">
        <w:rPr>
          <w:sz w:val="21"/>
          <w:szCs w:val="21"/>
          <w:highlight w:val="white"/>
          <w:lang w:val="en-US"/>
        </w:rPr>
        <w:t xml:space="preserve">n such scientific processes are concerned, including </w:t>
      </w:r>
      <w:r w:rsidRPr="00A00FE0">
        <w:rPr>
          <w:sz w:val="21"/>
          <w:szCs w:val="21"/>
          <w:lang w:val="en-US"/>
        </w:rPr>
        <w:t xml:space="preserve">data collected for monitoring control and surveillance, scientific fisheries Data Collection Frameworks, fisheries scientific observers schemes, and statistical or status &amp; trends reporting frameworks. </w:t>
      </w:r>
      <w:r w:rsidRPr="00A00FE0">
        <w:rPr>
          <w:sz w:val="21"/>
          <w:szCs w:val="21"/>
          <w:highlight w:val="white"/>
          <w:lang w:val="en-US"/>
        </w:rPr>
        <w:t>The proposed framework will facilitate the use of de-facto, and preferably open, standards for the identification, description, mapping and publication of fisheries data supporting scientific processes</w:t>
      </w:r>
      <w:proofErr w:type="gramStart"/>
      <w:r w:rsidRPr="00A00FE0">
        <w:rPr>
          <w:sz w:val="21"/>
          <w:szCs w:val="21"/>
          <w:highlight w:val="white"/>
          <w:lang w:val="en-US"/>
        </w:rPr>
        <w:t>..</w:t>
      </w:r>
      <w:proofErr w:type="gramEnd"/>
      <w:r w:rsidRPr="00A00FE0">
        <w:rPr>
          <w:sz w:val="21"/>
          <w:szCs w:val="21"/>
          <w:highlight w:val="white"/>
          <w:lang w:val="en-US"/>
        </w:rPr>
        <w:t xml:space="preserve"> </w:t>
      </w:r>
    </w:p>
    <w:p w:rsidR="000D0ADF" w:rsidRPr="00A00FE0" w:rsidRDefault="00F53373">
      <w:pPr>
        <w:spacing w:before="160" w:after="160" w:line="312" w:lineRule="auto"/>
        <w:rPr>
          <w:lang w:val="en-US"/>
        </w:rPr>
      </w:pPr>
      <w:r w:rsidRPr="00A00FE0">
        <w:rPr>
          <w:sz w:val="21"/>
          <w:szCs w:val="21"/>
          <w:highlight w:val="white"/>
          <w:lang w:val="en-US"/>
        </w:rPr>
        <w:t xml:space="preserve">More specifically, the fisheries Data WG will </w:t>
      </w:r>
      <w:r w:rsidRPr="00A00FE0">
        <w:rPr>
          <w:b/>
          <w:sz w:val="21"/>
          <w:szCs w:val="21"/>
          <w:highlight w:val="white"/>
          <w:lang w:val="en-US"/>
        </w:rPr>
        <w:t>addre</w:t>
      </w:r>
      <w:r w:rsidRPr="00A00FE0">
        <w:rPr>
          <w:b/>
          <w:sz w:val="21"/>
          <w:szCs w:val="21"/>
          <w:highlight w:val="white"/>
          <w:lang w:val="en-US"/>
        </w:rPr>
        <w:t xml:space="preserve">ss </w:t>
      </w:r>
      <w:r w:rsidRPr="00A00FE0">
        <w:rPr>
          <w:sz w:val="21"/>
          <w:szCs w:val="21"/>
          <w:highlight w:val="white"/>
          <w:lang w:val="en-US"/>
        </w:rPr>
        <w:t>the (minimal) metadata requirements to describe fisheries data required for supporting stock assessment and fisheries management. It will also seek to recommend global data standards for topical vocabularies, domain ontologies, and mapping rules and for</w:t>
      </w:r>
      <w:r w:rsidRPr="00A00FE0">
        <w:rPr>
          <w:sz w:val="21"/>
          <w:szCs w:val="21"/>
          <w:highlight w:val="white"/>
          <w:lang w:val="en-US"/>
        </w:rPr>
        <w:t xml:space="preserve">mats (as done for example by </w:t>
      </w:r>
      <w:hyperlink r:id="rId8">
        <w:r w:rsidRPr="00A00FE0">
          <w:rPr>
            <w:color w:val="1155CC"/>
            <w:sz w:val="21"/>
            <w:szCs w:val="21"/>
            <w:highlight w:val="white"/>
            <w:u w:val="single"/>
            <w:lang w:val="en-US"/>
          </w:rPr>
          <w:t>CF Conventions</w:t>
        </w:r>
      </w:hyperlink>
      <w:r w:rsidRPr="00A00FE0">
        <w:rPr>
          <w:sz w:val="21"/>
          <w:szCs w:val="21"/>
          <w:highlight w:val="white"/>
          <w:lang w:val="en-US"/>
        </w:rPr>
        <w:t xml:space="preserve"> for physical and chemical parameters in oceanography). </w:t>
      </w:r>
    </w:p>
    <w:p w:rsidR="000D0ADF" w:rsidRPr="00A00FE0" w:rsidRDefault="00F53373">
      <w:pPr>
        <w:spacing w:before="160" w:after="160" w:line="312" w:lineRule="auto"/>
        <w:rPr>
          <w:lang w:val="en-US"/>
        </w:rPr>
      </w:pPr>
      <w:r w:rsidRPr="00A00FE0">
        <w:rPr>
          <w:sz w:val="21"/>
          <w:szCs w:val="21"/>
          <w:highlight w:val="white"/>
          <w:lang w:val="en-US"/>
        </w:rPr>
        <w:t>Driven by pragmatic considerations, the working group will focus on few selected priority needs expressed by it</w:t>
      </w:r>
      <w:r w:rsidRPr="00A00FE0">
        <w:rPr>
          <w:sz w:val="21"/>
          <w:szCs w:val="21"/>
          <w:highlight w:val="white"/>
          <w:lang w:val="en-US"/>
        </w:rPr>
        <w:t xml:space="preserve">s invited participants, ranging from filling gaps in selected schemes to application of best practices across schemes, through issues of data transformation and harmonization among schemes. In terms of </w:t>
      </w:r>
      <w:r w:rsidRPr="00A00FE0">
        <w:rPr>
          <w:b/>
          <w:sz w:val="21"/>
          <w:szCs w:val="21"/>
          <w:highlight w:val="white"/>
          <w:lang w:val="en-US"/>
        </w:rPr>
        <w:t xml:space="preserve">functionality </w:t>
      </w:r>
      <w:r w:rsidRPr="00A00FE0">
        <w:rPr>
          <w:sz w:val="21"/>
          <w:szCs w:val="21"/>
          <w:highlight w:val="white"/>
          <w:lang w:val="en-US"/>
        </w:rPr>
        <w:t>and data types, the WG will identify sev</w:t>
      </w:r>
      <w:r w:rsidRPr="00A00FE0">
        <w:rPr>
          <w:sz w:val="21"/>
          <w:szCs w:val="21"/>
          <w:highlight w:val="white"/>
          <w:lang w:val="en-US"/>
        </w:rPr>
        <w:t xml:space="preserve">eral use cases describing realistic scenarios to </w:t>
      </w:r>
      <w:r w:rsidRPr="00A00FE0">
        <w:rPr>
          <w:b/>
          <w:sz w:val="21"/>
          <w:szCs w:val="21"/>
          <w:highlight w:val="white"/>
          <w:lang w:val="en-US"/>
        </w:rPr>
        <w:t>produce and test</w:t>
      </w:r>
      <w:r w:rsidRPr="00A00FE0">
        <w:rPr>
          <w:sz w:val="21"/>
          <w:szCs w:val="21"/>
          <w:highlight w:val="white"/>
          <w:lang w:val="en-US"/>
        </w:rPr>
        <w:t xml:space="preserve"> fisheries data work-flows. The </w:t>
      </w:r>
      <w:r w:rsidRPr="00A00FE0">
        <w:rPr>
          <w:b/>
          <w:sz w:val="21"/>
          <w:szCs w:val="21"/>
          <w:highlight w:val="white"/>
          <w:lang w:val="en-US"/>
        </w:rPr>
        <w:t xml:space="preserve">result </w:t>
      </w:r>
      <w:r w:rsidRPr="00A00FE0">
        <w:rPr>
          <w:sz w:val="21"/>
          <w:szCs w:val="21"/>
          <w:highlight w:val="white"/>
          <w:lang w:val="en-US"/>
        </w:rPr>
        <w:t xml:space="preserve">of the WG recommendations will be captured as a set of best practices. </w:t>
      </w:r>
    </w:p>
    <w:p w:rsidR="000D0ADF" w:rsidRPr="00A00FE0" w:rsidRDefault="00F53373">
      <w:pPr>
        <w:spacing w:before="160" w:after="160" w:line="312" w:lineRule="auto"/>
        <w:rPr>
          <w:lang w:val="en-US"/>
        </w:rPr>
      </w:pPr>
      <w:r w:rsidRPr="00A00FE0">
        <w:rPr>
          <w:sz w:val="21"/>
          <w:szCs w:val="21"/>
          <w:highlight w:val="white"/>
          <w:lang w:val="en-US"/>
        </w:rPr>
        <w:t xml:space="preserve">By including interoperability experts, </w:t>
      </w:r>
      <w:proofErr w:type="spellStart"/>
      <w:r w:rsidRPr="00A00FE0">
        <w:rPr>
          <w:sz w:val="21"/>
          <w:szCs w:val="21"/>
          <w:highlight w:val="white"/>
          <w:lang w:val="en-US"/>
        </w:rPr>
        <w:t>organisations</w:t>
      </w:r>
      <w:proofErr w:type="spellEnd"/>
      <w:r w:rsidRPr="00A00FE0">
        <w:rPr>
          <w:sz w:val="21"/>
          <w:szCs w:val="21"/>
          <w:highlight w:val="white"/>
          <w:lang w:val="en-US"/>
        </w:rPr>
        <w:t xml:space="preserve"> with standardization initia</w:t>
      </w:r>
      <w:r w:rsidRPr="00A00FE0">
        <w:rPr>
          <w:sz w:val="21"/>
          <w:szCs w:val="21"/>
          <w:highlight w:val="white"/>
          <w:lang w:val="en-US"/>
        </w:rPr>
        <w:t xml:space="preserve">tives, and standardization bodies, the WG will have key actors to reflect and propose </w:t>
      </w:r>
      <w:r w:rsidRPr="00A00FE0">
        <w:rPr>
          <w:b/>
          <w:sz w:val="21"/>
          <w:szCs w:val="21"/>
          <w:highlight w:val="white"/>
          <w:lang w:val="en-US"/>
        </w:rPr>
        <w:t>future governance</w:t>
      </w:r>
      <w:r w:rsidRPr="00A00FE0">
        <w:rPr>
          <w:sz w:val="21"/>
          <w:szCs w:val="21"/>
          <w:highlight w:val="white"/>
          <w:lang w:val="en-US"/>
        </w:rPr>
        <w:t xml:space="preserve"> of the data framework </w:t>
      </w:r>
      <w:proofErr w:type="gramStart"/>
      <w:r w:rsidRPr="00A00FE0">
        <w:rPr>
          <w:sz w:val="21"/>
          <w:szCs w:val="21"/>
          <w:highlight w:val="white"/>
          <w:lang w:val="en-US"/>
        </w:rPr>
        <w:t>The</w:t>
      </w:r>
      <w:proofErr w:type="gramEnd"/>
      <w:r w:rsidRPr="00A00FE0">
        <w:rPr>
          <w:sz w:val="21"/>
          <w:szCs w:val="21"/>
          <w:highlight w:val="white"/>
          <w:lang w:val="en-US"/>
        </w:rPr>
        <w:t xml:space="preserve"> focus of this governance is the efficient delivery of interoperability guidelines. </w:t>
      </w:r>
    </w:p>
    <w:p w:rsidR="000D0ADF" w:rsidRPr="00A00FE0" w:rsidRDefault="00F53373">
      <w:pPr>
        <w:spacing w:before="160" w:after="160" w:line="312" w:lineRule="auto"/>
        <w:rPr>
          <w:lang w:val="en-US"/>
        </w:rPr>
      </w:pPr>
      <w:r w:rsidRPr="00A00FE0">
        <w:rPr>
          <w:sz w:val="21"/>
          <w:szCs w:val="21"/>
          <w:highlight w:val="white"/>
          <w:lang w:val="en-US"/>
        </w:rPr>
        <w:t>To organize the collaboration and involvem</w:t>
      </w:r>
      <w:r w:rsidRPr="00A00FE0">
        <w:rPr>
          <w:sz w:val="21"/>
          <w:szCs w:val="21"/>
          <w:highlight w:val="white"/>
          <w:lang w:val="en-US"/>
        </w:rPr>
        <w:t>ent from the communit</w:t>
      </w:r>
      <w:r w:rsidRPr="00A00FE0">
        <w:rPr>
          <w:sz w:val="21"/>
          <w:szCs w:val="21"/>
          <w:lang w:val="en-US"/>
        </w:rPr>
        <w:t xml:space="preserve">y, the WG </w:t>
      </w:r>
      <w:r w:rsidRPr="00A00FE0">
        <w:rPr>
          <w:b/>
          <w:sz w:val="21"/>
          <w:szCs w:val="21"/>
          <w:lang w:val="en-US"/>
        </w:rPr>
        <w:t xml:space="preserve">co-chair on </w:t>
      </w:r>
      <w:r w:rsidRPr="00A00FE0">
        <w:rPr>
          <w:sz w:val="20"/>
          <w:szCs w:val="20"/>
          <w:highlight w:val="white"/>
          <w:lang w:val="en-US"/>
        </w:rPr>
        <w:t>Fish</w:t>
      </w:r>
      <w:r w:rsidRPr="00A00FE0">
        <w:rPr>
          <w:sz w:val="21"/>
          <w:szCs w:val="21"/>
          <w:highlight w:val="white"/>
          <w:lang w:val="en-US"/>
        </w:rPr>
        <w:t>eries data structures will over</w:t>
      </w:r>
      <w:r w:rsidRPr="00A00FE0">
        <w:rPr>
          <w:sz w:val="21"/>
          <w:szCs w:val="21"/>
          <w:lang w:val="en-US"/>
        </w:rPr>
        <w:t xml:space="preserve">see the activity of two topical sub-groups, with one </w:t>
      </w:r>
      <w:r w:rsidRPr="00A00FE0">
        <w:rPr>
          <w:b/>
          <w:sz w:val="21"/>
          <w:szCs w:val="21"/>
          <w:lang w:val="en-US"/>
        </w:rPr>
        <w:t>co-chair</w:t>
      </w:r>
      <w:r w:rsidRPr="00A00FE0">
        <w:rPr>
          <w:sz w:val="21"/>
          <w:szCs w:val="21"/>
          <w:lang w:val="en-US"/>
        </w:rPr>
        <w:t xml:space="preserve"> responsible for the formulation of a framework for structured fisheries data exchange (data structures), and another</w:t>
      </w:r>
      <w:r w:rsidRPr="00A00FE0">
        <w:rPr>
          <w:sz w:val="21"/>
          <w:szCs w:val="21"/>
          <w:lang w:val="en-US"/>
        </w:rPr>
        <w:t xml:space="preserve"> </w:t>
      </w:r>
      <w:r w:rsidRPr="00A00FE0">
        <w:rPr>
          <w:b/>
          <w:sz w:val="21"/>
          <w:szCs w:val="21"/>
          <w:lang w:val="en-US"/>
        </w:rPr>
        <w:t>co-chair</w:t>
      </w:r>
      <w:r w:rsidRPr="00A00FE0">
        <w:rPr>
          <w:sz w:val="21"/>
          <w:szCs w:val="21"/>
          <w:lang w:val="en-US"/>
        </w:rPr>
        <w:t xml:space="preserve"> responsible for fisheries geospatial explicit data. </w:t>
      </w:r>
    </w:p>
    <w:p w:rsidR="000D0ADF" w:rsidRPr="00A00FE0" w:rsidRDefault="00F53373">
      <w:pPr>
        <w:spacing w:before="160" w:after="160" w:line="312" w:lineRule="auto"/>
        <w:rPr>
          <w:lang w:val="en-US"/>
        </w:rPr>
      </w:pPr>
      <w:r w:rsidRPr="00A00FE0">
        <w:rPr>
          <w:sz w:val="21"/>
          <w:szCs w:val="21"/>
          <w:highlight w:val="white"/>
          <w:lang w:val="en-US"/>
        </w:rPr>
        <w:t>To achieve these objectives, the WG will;</w:t>
      </w:r>
    </w:p>
    <w:p w:rsidR="000D0ADF" w:rsidRPr="00A00FE0" w:rsidRDefault="00F53373">
      <w:pPr>
        <w:numPr>
          <w:ilvl w:val="0"/>
          <w:numId w:val="6"/>
        </w:numPr>
        <w:spacing w:before="160" w:after="160" w:line="312" w:lineRule="auto"/>
        <w:ind w:hanging="360"/>
        <w:contextualSpacing/>
        <w:rPr>
          <w:sz w:val="21"/>
          <w:szCs w:val="21"/>
          <w:highlight w:val="white"/>
          <w:lang w:val="en-US"/>
        </w:rPr>
      </w:pPr>
      <w:r w:rsidRPr="00A00FE0">
        <w:rPr>
          <w:sz w:val="21"/>
          <w:szCs w:val="21"/>
          <w:highlight w:val="white"/>
          <w:lang w:val="en-US"/>
        </w:rPr>
        <w:lastRenderedPageBreak/>
        <w:t>Promote existing facilities for data sharing on capture, landing, effort, size classes, VMS and production through sharing of structural data definitio</w:t>
      </w:r>
      <w:r w:rsidRPr="00A00FE0">
        <w:rPr>
          <w:sz w:val="21"/>
          <w:szCs w:val="21"/>
          <w:highlight w:val="white"/>
          <w:lang w:val="en-US"/>
        </w:rPr>
        <w:t>ns. This promotion will be supported by demonstrations of live examples of data sharing;</w:t>
      </w:r>
    </w:p>
    <w:p w:rsidR="000D0ADF" w:rsidRPr="00A00FE0" w:rsidRDefault="00F53373">
      <w:pPr>
        <w:numPr>
          <w:ilvl w:val="0"/>
          <w:numId w:val="6"/>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Facilitate access to data by recommending standards such as </w:t>
      </w:r>
      <w:proofErr w:type="spellStart"/>
      <w:r w:rsidRPr="00A00FE0">
        <w:rPr>
          <w:sz w:val="21"/>
          <w:szCs w:val="21"/>
          <w:highlight w:val="white"/>
          <w:lang w:val="en-US"/>
        </w:rPr>
        <w:t>netCDF</w:t>
      </w:r>
      <w:proofErr w:type="spellEnd"/>
      <w:r w:rsidRPr="00A00FE0">
        <w:rPr>
          <w:sz w:val="21"/>
          <w:szCs w:val="21"/>
          <w:highlight w:val="white"/>
          <w:lang w:val="en-US"/>
        </w:rPr>
        <w:t xml:space="preserve">, SDMX or UN/CEFACT and assist in adoption of tools and facilities; </w:t>
      </w:r>
    </w:p>
    <w:p w:rsidR="000D0ADF" w:rsidRPr="00A00FE0" w:rsidRDefault="00F53373">
      <w:pPr>
        <w:numPr>
          <w:ilvl w:val="0"/>
          <w:numId w:val="6"/>
        </w:numPr>
        <w:spacing w:before="160" w:after="160" w:line="312" w:lineRule="auto"/>
        <w:ind w:hanging="360"/>
        <w:contextualSpacing/>
        <w:rPr>
          <w:sz w:val="21"/>
          <w:szCs w:val="21"/>
          <w:highlight w:val="white"/>
          <w:lang w:val="en-US"/>
        </w:rPr>
      </w:pPr>
      <w:r w:rsidRPr="00A00FE0">
        <w:rPr>
          <w:sz w:val="21"/>
          <w:szCs w:val="21"/>
          <w:highlight w:val="white"/>
          <w:lang w:val="en-US"/>
        </w:rPr>
        <w:t>Recommend existing data tools: T</w:t>
      </w:r>
      <w:r w:rsidRPr="00A00FE0">
        <w:rPr>
          <w:sz w:val="21"/>
          <w:szCs w:val="21"/>
          <w:highlight w:val="white"/>
          <w:lang w:val="en-US"/>
        </w:rPr>
        <w:t>ools for Master Data Management (MDM), database connectors, registries and other assets;</w:t>
      </w:r>
    </w:p>
    <w:p w:rsidR="000D0ADF" w:rsidRPr="00A00FE0" w:rsidRDefault="00F53373">
      <w:pPr>
        <w:numPr>
          <w:ilvl w:val="0"/>
          <w:numId w:val="6"/>
        </w:numPr>
        <w:spacing w:before="160" w:after="160" w:line="312" w:lineRule="auto"/>
        <w:ind w:hanging="360"/>
        <w:contextualSpacing/>
        <w:rPr>
          <w:sz w:val="21"/>
          <w:szCs w:val="21"/>
          <w:highlight w:val="white"/>
          <w:lang w:val="en-US"/>
        </w:rPr>
      </w:pPr>
      <w:r w:rsidRPr="00A00FE0">
        <w:rPr>
          <w:sz w:val="21"/>
          <w:szCs w:val="21"/>
          <w:highlight w:val="white"/>
          <w:lang w:val="en-US"/>
        </w:rPr>
        <w:t>Recommend Master Data Management solutions for classifications and multilingual / multi-locale data: The challenge lies in the variety of languages in which the data i</w:t>
      </w:r>
      <w:r w:rsidRPr="00A00FE0">
        <w:rPr>
          <w:sz w:val="21"/>
          <w:szCs w:val="21"/>
          <w:highlight w:val="white"/>
          <w:lang w:val="en-US"/>
        </w:rPr>
        <w:t>s stored, and locale specific data types. This requires also mapping between local classifications and regional and global ones.</w:t>
      </w:r>
    </w:p>
    <w:p w:rsidR="000D0ADF" w:rsidRPr="00A00FE0" w:rsidRDefault="00F53373">
      <w:pPr>
        <w:numPr>
          <w:ilvl w:val="0"/>
          <w:numId w:val="6"/>
        </w:numPr>
        <w:spacing w:before="160" w:after="160" w:line="312" w:lineRule="auto"/>
        <w:ind w:hanging="360"/>
        <w:contextualSpacing/>
        <w:rPr>
          <w:sz w:val="21"/>
          <w:szCs w:val="21"/>
          <w:highlight w:val="white"/>
          <w:lang w:val="en-US"/>
        </w:rPr>
      </w:pPr>
      <w:r w:rsidRPr="00A00FE0">
        <w:rPr>
          <w:sz w:val="21"/>
          <w:szCs w:val="21"/>
          <w:highlight w:val="white"/>
          <w:lang w:val="en-US"/>
        </w:rPr>
        <w:t>Connect existing data networking initiatives such as</w:t>
      </w:r>
    </w:p>
    <w:p w:rsidR="000D0ADF" w:rsidRDefault="00F53373">
      <w:pPr>
        <w:numPr>
          <w:ilvl w:val="1"/>
          <w:numId w:val="6"/>
        </w:numPr>
        <w:spacing w:before="160" w:after="160" w:line="312" w:lineRule="auto"/>
        <w:ind w:hanging="360"/>
        <w:contextualSpacing/>
        <w:rPr>
          <w:sz w:val="21"/>
          <w:szCs w:val="21"/>
          <w:highlight w:val="white"/>
        </w:rPr>
      </w:pPr>
      <w:r>
        <w:rPr>
          <w:sz w:val="21"/>
          <w:szCs w:val="21"/>
          <w:highlight w:val="white"/>
        </w:rPr>
        <w:t xml:space="preserve">The FAO FiRMS partnership, </w:t>
      </w:r>
    </w:p>
    <w:p w:rsidR="000D0ADF" w:rsidRPr="00A00FE0" w:rsidRDefault="00F53373">
      <w:pPr>
        <w:numPr>
          <w:ilvl w:val="1"/>
          <w:numId w:val="6"/>
        </w:numPr>
        <w:spacing w:before="160" w:after="160" w:line="312" w:lineRule="auto"/>
        <w:ind w:hanging="360"/>
        <w:contextualSpacing/>
        <w:rPr>
          <w:sz w:val="21"/>
          <w:szCs w:val="21"/>
          <w:highlight w:val="white"/>
          <w:lang w:val="en-US"/>
        </w:rPr>
      </w:pPr>
      <w:r w:rsidRPr="00A00FE0">
        <w:rPr>
          <w:sz w:val="21"/>
          <w:szCs w:val="21"/>
          <w:highlight w:val="white"/>
          <w:lang w:val="en-US"/>
        </w:rPr>
        <w:t>The FAO secretariat to the Coordinating Workin</w:t>
      </w:r>
      <w:r w:rsidRPr="00A00FE0">
        <w:rPr>
          <w:sz w:val="21"/>
          <w:szCs w:val="21"/>
          <w:highlight w:val="white"/>
          <w:lang w:val="en-US"/>
        </w:rPr>
        <w:t>g Party on Fishery Statistics (CWP), which combines 19 global partners such as ICES and IOTC,</w:t>
      </w:r>
    </w:p>
    <w:p w:rsidR="000D0ADF" w:rsidRPr="00A00FE0" w:rsidRDefault="00F53373">
      <w:pPr>
        <w:numPr>
          <w:ilvl w:val="1"/>
          <w:numId w:val="6"/>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The Tuna Atlas initiative (tuna RFMOs, FAO, IRD), to provide examples for storing datasets from various RFMOs within a single gridded data format; </w:t>
      </w:r>
    </w:p>
    <w:p w:rsidR="000D0ADF" w:rsidRPr="00A00FE0" w:rsidRDefault="00F53373">
      <w:pPr>
        <w:numPr>
          <w:ilvl w:val="1"/>
          <w:numId w:val="6"/>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Extend </w:t>
      </w:r>
      <w:hyperlink r:id="rId9">
        <w:r w:rsidRPr="00A00FE0">
          <w:rPr>
            <w:color w:val="1155CC"/>
            <w:sz w:val="21"/>
            <w:szCs w:val="21"/>
            <w:highlight w:val="white"/>
            <w:u w:val="single"/>
            <w:lang w:val="en-US"/>
          </w:rPr>
          <w:t>CF Conventions</w:t>
        </w:r>
      </w:hyperlink>
      <w:r w:rsidRPr="00A00FE0">
        <w:rPr>
          <w:sz w:val="21"/>
          <w:szCs w:val="21"/>
          <w:highlight w:val="white"/>
          <w:lang w:val="en-US"/>
        </w:rPr>
        <w:t xml:space="preserve">  for biological and fisheries data</w:t>
      </w:r>
    </w:p>
    <w:p w:rsidR="000D0ADF" w:rsidRPr="00A00FE0" w:rsidRDefault="00F53373">
      <w:pPr>
        <w:numPr>
          <w:ilvl w:val="1"/>
          <w:numId w:val="6"/>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EU / DG MARE: DCF, Integrated Fisheries Data Management </w:t>
      </w:r>
      <w:proofErr w:type="spellStart"/>
      <w:r w:rsidRPr="00A00FE0">
        <w:rPr>
          <w:sz w:val="21"/>
          <w:szCs w:val="21"/>
          <w:highlight w:val="white"/>
          <w:lang w:val="en-US"/>
        </w:rPr>
        <w:t>Programme</w:t>
      </w:r>
      <w:proofErr w:type="spellEnd"/>
      <w:r w:rsidRPr="00A00FE0">
        <w:rPr>
          <w:sz w:val="21"/>
          <w:szCs w:val="21"/>
          <w:highlight w:val="white"/>
          <w:lang w:val="en-US"/>
        </w:rPr>
        <w:t xml:space="preserve"> (FLUX)</w:t>
      </w:r>
      <w:r w:rsidRPr="00A00FE0">
        <w:rPr>
          <w:rFonts w:ascii="Calibri" w:eastAsia="Calibri" w:hAnsi="Calibri" w:cs="Calibri"/>
          <w:i/>
          <w:highlight w:val="white"/>
          <w:lang w:val="en-US"/>
        </w:rPr>
        <w:t xml:space="preserve"> </w:t>
      </w:r>
      <w:r w:rsidRPr="00A00FE0">
        <w:rPr>
          <w:sz w:val="21"/>
          <w:szCs w:val="21"/>
          <w:highlight w:val="white"/>
          <w:lang w:val="en-US"/>
        </w:rPr>
        <w:t xml:space="preserve"> and INSPIRE directive, </w:t>
      </w:r>
    </w:p>
    <w:p w:rsidR="000D0ADF" w:rsidRPr="00A00FE0" w:rsidRDefault="00F53373">
      <w:pPr>
        <w:numPr>
          <w:ilvl w:val="1"/>
          <w:numId w:val="6"/>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The SDMX community, such as through of Eurostat, FAO, and </w:t>
      </w:r>
      <w:proofErr w:type="spellStart"/>
      <w:r w:rsidRPr="00A00FE0">
        <w:rPr>
          <w:sz w:val="21"/>
          <w:szCs w:val="21"/>
          <w:highlight w:val="white"/>
          <w:lang w:val="en-US"/>
        </w:rPr>
        <w:t>Worldbank</w:t>
      </w:r>
      <w:proofErr w:type="spellEnd"/>
      <w:r w:rsidRPr="00A00FE0">
        <w:rPr>
          <w:sz w:val="21"/>
          <w:szCs w:val="21"/>
          <w:highlight w:val="white"/>
          <w:lang w:val="en-US"/>
        </w:rPr>
        <w:t xml:space="preserve"> </w:t>
      </w:r>
    </w:p>
    <w:p w:rsidR="000D0ADF" w:rsidRPr="00A00FE0" w:rsidRDefault="00F53373">
      <w:pPr>
        <w:numPr>
          <w:ilvl w:val="1"/>
          <w:numId w:val="6"/>
        </w:numPr>
        <w:spacing w:before="160" w:after="160" w:line="312" w:lineRule="auto"/>
        <w:ind w:hanging="360"/>
        <w:contextualSpacing/>
        <w:rPr>
          <w:sz w:val="21"/>
          <w:szCs w:val="21"/>
          <w:highlight w:val="white"/>
          <w:lang w:val="en-US"/>
        </w:rPr>
      </w:pPr>
      <w:proofErr w:type="spellStart"/>
      <w:r w:rsidRPr="00A00FE0">
        <w:rPr>
          <w:sz w:val="21"/>
          <w:szCs w:val="21"/>
          <w:highlight w:val="white"/>
          <w:lang w:val="en-US"/>
        </w:rPr>
        <w:t>U</w:t>
      </w:r>
      <w:r w:rsidRPr="00A00FE0">
        <w:rPr>
          <w:sz w:val="21"/>
          <w:szCs w:val="21"/>
          <w:highlight w:val="white"/>
          <w:lang w:val="en-US"/>
        </w:rPr>
        <w:t>nesco’s</w:t>
      </w:r>
      <w:proofErr w:type="spellEnd"/>
      <w:r w:rsidRPr="00A00FE0">
        <w:rPr>
          <w:sz w:val="21"/>
          <w:szCs w:val="21"/>
          <w:highlight w:val="white"/>
          <w:lang w:val="en-US"/>
        </w:rPr>
        <w:t xml:space="preserve"> "International Oceanographic Data and Information Exchange" (IODE) of the "</w:t>
      </w:r>
      <w:hyperlink r:id="rId10">
        <w:r w:rsidRPr="00A00FE0">
          <w:rPr>
            <w:sz w:val="21"/>
            <w:szCs w:val="21"/>
            <w:highlight w:val="white"/>
            <w:lang w:val="en-US"/>
          </w:rPr>
          <w:t>Intergovernmental Oceanographic Commission" (IOC)</w:t>
        </w:r>
      </w:hyperlink>
    </w:p>
    <w:p w:rsidR="000D0ADF" w:rsidRPr="00A00FE0" w:rsidRDefault="00F53373">
      <w:pPr>
        <w:numPr>
          <w:ilvl w:val="1"/>
          <w:numId w:val="6"/>
        </w:numPr>
        <w:spacing w:before="160" w:after="160" w:line="312" w:lineRule="auto"/>
        <w:ind w:hanging="360"/>
        <w:contextualSpacing/>
        <w:rPr>
          <w:sz w:val="21"/>
          <w:szCs w:val="21"/>
          <w:highlight w:val="white"/>
          <w:lang w:val="en-US"/>
        </w:rPr>
      </w:pPr>
      <w:r w:rsidRPr="00A00FE0">
        <w:rPr>
          <w:sz w:val="21"/>
          <w:szCs w:val="21"/>
          <w:highlight w:val="white"/>
          <w:lang w:val="en-US"/>
        </w:rPr>
        <w:t>Other relevant RDA WG’s and IG’s; such as (</w:t>
      </w:r>
      <w:proofErr w:type="spellStart"/>
      <w:r w:rsidRPr="00A00FE0">
        <w:rPr>
          <w:sz w:val="21"/>
          <w:szCs w:val="21"/>
          <w:highlight w:val="white"/>
          <w:lang w:val="en-US"/>
        </w:rPr>
        <w:t>Alfabetically</w:t>
      </w:r>
      <w:proofErr w:type="spellEnd"/>
      <w:r w:rsidRPr="00A00FE0">
        <w:rPr>
          <w:sz w:val="21"/>
          <w:szCs w:val="21"/>
          <w:highlight w:val="white"/>
          <w:lang w:val="en-US"/>
        </w:rPr>
        <w:t xml:space="preserve">) the </w:t>
      </w:r>
      <w:hyperlink r:id="rId11">
        <w:proofErr w:type="spellStart"/>
        <w:r w:rsidRPr="00A00FE0">
          <w:rPr>
            <w:sz w:val="21"/>
            <w:szCs w:val="21"/>
            <w:highlight w:val="white"/>
            <w:lang w:val="en-US"/>
          </w:rPr>
          <w:t>Agrisemantics</w:t>
        </w:r>
        <w:proofErr w:type="spellEnd"/>
        <w:r w:rsidRPr="00A00FE0">
          <w:rPr>
            <w:sz w:val="21"/>
            <w:szCs w:val="21"/>
            <w:highlight w:val="white"/>
            <w:lang w:val="en-US"/>
          </w:rPr>
          <w:t xml:space="preserve"> WG</w:t>
        </w:r>
      </w:hyperlink>
      <w:r w:rsidRPr="00A00FE0">
        <w:rPr>
          <w:sz w:val="21"/>
          <w:szCs w:val="21"/>
          <w:highlight w:val="white"/>
          <w:lang w:val="en-US"/>
        </w:rPr>
        <w:t>, Data Citation WG, Agricultural Data IG, Geospatial IG Marine Data Harmonization IG, RDA/CODATA Legal Interoperability IG</w:t>
      </w:r>
    </w:p>
    <w:p w:rsidR="000D0ADF" w:rsidRPr="00A00FE0" w:rsidRDefault="000D0ADF">
      <w:pPr>
        <w:pStyle w:val="Heading1"/>
        <w:spacing w:before="160" w:after="160" w:line="384" w:lineRule="auto"/>
        <w:contextualSpacing w:val="0"/>
        <w:rPr>
          <w:lang w:val="en-US"/>
        </w:rPr>
      </w:pPr>
      <w:bookmarkStart w:id="4" w:name="_79r79wyen6l7" w:colFirst="0" w:colLast="0"/>
      <w:bookmarkEnd w:id="4"/>
    </w:p>
    <w:p w:rsidR="000D0ADF" w:rsidRPr="00A00FE0" w:rsidRDefault="00F53373">
      <w:pPr>
        <w:rPr>
          <w:lang w:val="en-US"/>
        </w:rPr>
      </w:pPr>
      <w:r w:rsidRPr="00A00FE0">
        <w:rPr>
          <w:lang w:val="en-US"/>
        </w:rPr>
        <w:br w:type="page"/>
      </w:r>
    </w:p>
    <w:p w:rsidR="000D0ADF" w:rsidRPr="00A00FE0" w:rsidRDefault="000D0ADF">
      <w:pPr>
        <w:pStyle w:val="Heading1"/>
        <w:spacing w:before="160" w:after="160" w:line="384" w:lineRule="auto"/>
        <w:contextualSpacing w:val="0"/>
        <w:rPr>
          <w:lang w:val="en-US"/>
        </w:rPr>
      </w:pPr>
      <w:bookmarkStart w:id="5" w:name="_cj3uxm9gjqb" w:colFirst="0" w:colLast="0"/>
      <w:bookmarkEnd w:id="5"/>
    </w:p>
    <w:p w:rsidR="000D0ADF" w:rsidRPr="00A00FE0" w:rsidRDefault="00F53373">
      <w:pPr>
        <w:pStyle w:val="Heading1"/>
        <w:spacing w:before="160" w:after="160" w:line="384" w:lineRule="auto"/>
        <w:contextualSpacing w:val="0"/>
        <w:rPr>
          <w:lang w:val="en-US"/>
        </w:rPr>
      </w:pPr>
      <w:bookmarkStart w:id="6" w:name="_e2dqc8cikj4" w:colFirst="0" w:colLast="0"/>
      <w:bookmarkEnd w:id="6"/>
      <w:r w:rsidRPr="00A00FE0">
        <w:rPr>
          <w:lang w:val="en-US"/>
        </w:rPr>
        <w:t>Value Proposition</w:t>
      </w:r>
    </w:p>
    <w:p w:rsidR="000D0ADF" w:rsidRPr="00A00FE0" w:rsidRDefault="00F53373">
      <w:pPr>
        <w:spacing w:before="160" w:after="160" w:line="312" w:lineRule="auto"/>
        <w:rPr>
          <w:lang w:val="en-US"/>
        </w:rPr>
      </w:pPr>
      <w:r w:rsidRPr="00A00FE0">
        <w:rPr>
          <w:sz w:val="21"/>
          <w:szCs w:val="21"/>
          <w:highlight w:val="white"/>
          <w:lang w:val="en-US"/>
        </w:rPr>
        <w:t>The WG will provide a negotiation framework on fishery related standards for data storage and exchange structures to improve data analysis. It will benefit organizations in the fisheries sector by providing a reference interoperability framework based on e</w:t>
      </w:r>
      <w:r w:rsidRPr="00A00FE0">
        <w:rPr>
          <w:sz w:val="21"/>
          <w:szCs w:val="21"/>
          <w:highlight w:val="white"/>
          <w:lang w:val="en-US"/>
        </w:rPr>
        <w:t>xisting initiatives and formats.</w:t>
      </w:r>
    </w:p>
    <w:p w:rsidR="000D0ADF" w:rsidRPr="00A00FE0" w:rsidRDefault="00F53373">
      <w:pPr>
        <w:spacing w:before="160" w:after="160" w:line="312" w:lineRule="auto"/>
        <w:rPr>
          <w:lang w:val="en-US"/>
        </w:rPr>
      </w:pPr>
      <w:r w:rsidRPr="00A00FE0">
        <w:rPr>
          <w:sz w:val="21"/>
          <w:szCs w:val="21"/>
          <w:highlight w:val="white"/>
          <w:lang w:val="en-US"/>
        </w:rPr>
        <w:t>In the longer term, implementing a common framework (however small the scale may be) will help to further cultivate a fisheries data ecosystem, based on common tools and services.</w:t>
      </w:r>
    </w:p>
    <w:p w:rsidR="000D0ADF" w:rsidRPr="00A00FE0" w:rsidRDefault="00F53373">
      <w:pPr>
        <w:numPr>
          <w:ilvl w:val="0"/>
          <w:numId w:val="3"/>
        </w:numPr>
        <w:spacing w:before="160" w:after="160" w:line="312" w:lineRule="auto"/>
        <w:ind w:hanging="360"/>
        <w:contextualSpacing/>
        <w:rPr>
          <w:sz w:val="21"/>
          <w:szCs w:val="21"/>
          <w:highlight w:val="white"/>
          <w:lang w:val="en-US"/>
        </w:rPr>
      </w:pPr>
      <w:r w:rsidRPr="00A00FE0">
        <w:rPr>
          <w:sz w:val="21"/>
          <w:szCs w:val="21"/>
          <w:highlight w:val="white"/>
          <w:lang w:val="en-US"/>
        </w:rPr>
        <w:t>The fisheries data managers and data scient</w:t>
      </w:r>
      <w:r w:rsidRPr="00A00FE0">
        <w:rPr>
          <w:sz w:val="21"/>
          <w:szCs w:val="21"/>
          <w:highlight w:val="white"/>
          <w:lang w:val="en-US"/>
        </w:rPr>
        <w:t>ists will have a common and global framework to describe, document, and structure their fisheries data.</w:t>
      </w:r>
    </w:p>
    <w:p w:rsidR="000D0ADF" w:rsidRPr="00A00FE0" w:rsidRDefault="00F53373">
      <w:pPr>
        <w:numPr>
          <w:ilvl w:val="0"/>
          <w:numId w:val="3"/>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If suitable standards are identified, then the WG can propose generic data storage standards (e.g. for gridded datasets or </w:t>
      </w:r>
      <w:proofErr w:type="spellStart"/>
      <w:r w:rsidRPr="00A00FE0">
        <w:rPr>
          <w:sz w:val="21"/>
          <w:szCs w:val="21"/>
          <w:highlight w:val="white"/>
          <w:lang w:val="en-US"/>
        </w:rPr>
        <w:t>NetCDF</w:t>
      </w:r>
      <w:proofErr w:type="spellEnd"/>
      <w:r w:rsidRPr="00A00FE0">
        <w:rPr>
          <w:sz w:val="21"/>
          <w:szCs w:val="21"/>
          <w:highlight w:val="white"/>
          <w:lang w:val="en-US"/>
        </w:rPr>
        <w:t>) and services (OGC Web</w:t>
      </w:r>
      <w:r w:rsidRPr="00A00FE0">
        <w:rPr>
          <w:sz w:val="21"/>
          <w:szCs w:val="21"/>
          <w:highlight w:val="white"/>
          <w:lang w:val="en-US"/>
        </w:rPr>
        <w:t xml:space="preserve"> Services for GIS community, facilitating INSPIRE DIRECTIVE compliance</w:t>
      </w:r>
      <w:proofErr w:type="gramStart"/>
      <w:r w:rsidRPr="00A00FE0">
        <w:rPr>
          <w:sz w:val="21"/>
          <w:szCs w:val="21"/>
          <w:highlight w:val="white"/>
          <w:lang w:val="en-US"/>
        </w:rPr>
        <w:t>..)</w:t>
      </w:r>
      <w:proofErr w:type="gramEnd"/>
    </w:p>
    <w:p w:rsidR="000D0ADF" w:rsidRPr="00A00FE0" w:rsidRDefault="00F53373">
      <w:pPr>
        <w:numPr>
          <w:ilvl w:val="0"/>
          <w:numId w:val="3"/>
        </w:numPr>
        <w:spacing w:before="160" w:after="160" w:line="312" w:lineRule="auto"/>
        <w:ind w:hanging="360"/>
        <w:contextualSpacing/>
        <w:rPr>
          <w:sz w:val="21"/>
          <w:szCs w:val="21"/>
          <w:highlight w:val="white"/>
          <w:lang w:val="en-US"/>
        </w:rPr>
      </w:pPr>
      <w:r w:rsidRPr="00A00FE0">
        <w:rPr>
          <w:sz w:val="21"/>
          <w:szCs w:val="21"/>
          <w:highlight w:val="white"/>
          <w:lang w:val="en-US"/>
        </w:rPr>
        <w:t>Fishers, traceability organizations, NGO’s, and other data users will have seamless access to a wide range of fisheries data. Data mapping will also ease emergence of new data analys</w:t>
      </w:r>
      <w:r w:rsidRPr="00A00FE0">
        <w:rPr>
          <w:sz w:val="21"/>
          <w:szCs w:val="21"/>
          <w:highlight w:val="white"/>
          <w:lang w:val="en-US"/>
        </w:rPr>
        <w:t>es and knowledge discovery methodologies.</w:t>
      </w:r>
    </w:p>
    <w:p w:rsidR="000D0ADF" w:rsidRPr="00A00FE0" w:rsidRDefault="00F53373">
      <w:pPr>
        <w:numPr>
          <w:ilvl w:val="0"/>
          <w:numId w:val="3"/>
        </w:numPr>
        <w:spacing w:before="160" w:after="160" w:line="312" w:lineRule="auto"/>
        <w:ind w:hanging="360"/>
        <w:contextualSpacing/>
        <w:rPr>
          <w:sz w:val="21"/>
          <w:szCs w:val="21"/>
          <w:highlight w:val="white"/>
          <w:lang w:val="en-US"/>
        </w:rPr>
      </w:pPr>
      <w:r w:rsidRPr="00A00FE0">
        <w:rPr>
          <w:sz w:val="21"/>
          <w:szCs w:val="21"/>
          <w:highlight w:val="white"/>
          <w:lang w:val="en-US"/>
        </w:rPr>
        <w:t>Other infrastructures data managers and scientists will have the benefit of a reusable data framework. Researchers working on other domains will easily access, reuse and link up fisheries data with their own data.</w:t>
      </w:r>
    </w:p>
    <w:p w:rsidR="000D0ADF" w:rsidRPr="00A00FE0" w:rsidRDefault="00F53373">
      <w:pPr>
        <w:numPr>
          <w:ilvl w:val="0"/>
          <w:numId w:val="3"/>
        </w:numPr>
        <w:spacing w:before="160" w:after="160" w:line="312" w:lineRule="auto"/>
        <w:ind w:hanging="360"/>
        <w:contextualSpacing/>
        <w:rPr>
          <w:sz w:val="21"/>
          <w:szCs w:val="21"/>
          <w:highlight w:val="white"/>
          <w:lang w:val="en-US"/>
        </w:rPr>
      </w:pPr>
      <w:r w:rsidRPr="00A00FE0">
        <w:rPr>
          <w:sz w:val="21"/>
          <w:szCs w:val="21"/>
          <w:highlight w:val="white"/>
          <w:lang w:val="en-US"/>
        </w:rPr>
        <w:t>Development professionals and policy makers for will be enabled to take informed decisions across multiple data providers.</w:t>
      </w:r>
    </w:p>
    <w:p w:rsidR="000D0ADF" w:rsidRPr="00A00FE0" w:rsidRDefault="00F53373">
      <w:pPr>
        <w:spacing w:before="160" w:after="160" w:line="312" w:lineRule="auto"/>
        <w:rPr>
          <w:lang w:val="en-US"/>
        </w:rPr>
      </w:pPr>
      <w:r w:rsidRPr="00A00FE0">
        <w:rPr>
          <w:sz w:val="21"/>
          <w:szCs w:val="21"/>
          <w:highlight w:val="white"/>
          <w:lang w:val="en-US"/>
        </w:rPr>
        <w:t>Expected key impacts of the RDA fisheries Data Interoperability Guidelines</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Reduced costs related to reusing data. The incompleteness </w:t>
      </w:r>
      <w:r w:rsidRPr="00A00FE0">
        <w:rPr>
          <w:sz w:val="21"/>
          <w:szCs w:val="21"/>
          <w:highlight w:val="white"/>
          <w:lang w:val="en-US"/>
        </w:rPr>
        <w:t xml:space="preserve">of standards (or guidelines) has a cost. Indeed, e.g. data structures can vary a lot for similar data and much time is wasted to transform data from one format into another. Agreement on a set of standards and writing related guidelines is </w:t>
      </w:r>
      <w:proofErr w:type="gramStart"/>
      <w:r w:rsidRPr="00A00FE0">
        <w:rPr>
          <w:sz w:val="21"/>
          <w:szCs w:val="21"/>
          <w:highlight w:val="white"/>
          <w:lang w:val="en-US"/>
        </w:rPr>
        <w:t>key</w:t>
      </w:r>
      <w:proofErr w:type="gramEnd"/>
      <w:r w:rsidRPr="00A00FE0">
        <w:rPr>
          <w:sz w:val="21"/>
          <w:szCs w:val="21"/>
          <w:highlight w:val="white"/>
          <w:lang w:val="en-US"/>
        </w:rPr>
        <w:t>.</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Increased a</w:t>
      </w:r>
      <w:r w:rsidRPr="00A00FE0">
        <w:rPr>
          <w:sz w:val="21"/>
          <w:szCs w:val="21"/>
          <w:highlight w:val="white"/>
          <w:lang w:val="en-US"/>
        </w:rPr>
        <w:t>doption of existing common standards, vocabularies and best practices related to fisheries data management with new communities, such as regional projects. Increased general awareness about research open data and interoperability standards among the fisher</w:t>
      </w:r>
      <w:r w:rsidRPr="00A00FE0">
        <w:rPr>
          <w:sz w:val="21"/>
          <w:szCs w:val="21"/>
          <w:highlight w:val="white"/>
          <w:lang w:val="en-US"/>
        </w:rPr>
        <w:t>ies organizations.</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Enhanced access, discovery (metadata) and reuse of fisheries data, and improved visibility.</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Major fisheries data integration and more effective measure of </w:t>
      </w:r>
      <w:proofErr w:type="gramStart"/>
      <w:r w:rsidRPr="00A00FE0">
        <w:rPr>
          <w:sz w:val="21"/>
          <w:szCs w:val="21"/>
          <w:highlight w:val="white"/>
          <w:lang w:val="en-US"/>
        </w:rPr>
        <w:t>the of</w:t>
      </w:r>
      <w:proofErr w:type="gramEnd"/>
      <w:r w:rsidRPr="00A00FE0">
        <w:rPr>
          <w:sz w:val="21"/>
          <w:szCs w:val="21"/>
          <w:highlight w:val="white"/>
          <w:lang w:val="en-US"/>
        </w:rPr>
        <w:t xml:space="preserve"> free sharing impact of fisheries data through data provenance attribution.</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Created new opportunities for Data Structure Definition (DSD) and ontology based knowledge management in the fisheries sector.</w:t>
      </w:r>
    </w:p>
    <w:p w:rsidR="000D0ADF" w:rsidRPr="00A00FE0" w:rsidRDefault="00F53373">
      <w:pPr>
        <w:pStyle w:val="Heading1"/>
        <w:spacing w:before="160" w:after="160" w:line="384" w:lineRule="auto"/>
        <w:contextualSpacing w:val="0"/>
        <w:rPr>
          <w:lang w:val="en-US"/>
        </w:rPr>
      </w:pPr>
      <w:bookmarkStart w:id="7" w:name="_pyucqjgcul5w" w:colFirst="0" w:colLast="0"/>
      <w:bookmarkEnd w:id="7"/>
      <w:r w:rsidRPr="00A00FE0">
        <w:rPr>
          <w:lang w:val="en-US"/>
        </w:rPr>
        <w:lastRenderedPageBreak/>
        <w:t xml:space="preserve">Engagement with existing work in the area: </w:t>
      </w:r>
    </w:p>
    <w:p w:rsidR="000D0ADF" w:rsidRPr="00A00FE0" w:rsidRDefault="00F53373">
      <w:pPr>
        <w:spacing w:before="160" w:after="160" w:line="312" w:lineRule="auto"/>
        <w:rPr>
          <w:lang w:val="en-US"/>
        </w:rPr>
      </w:pPr>
      <w:r w:rsidRPr="00A00FE0">
        <w:rPr>
          <w:sz w:val="21"/>
          <w:szCs w:val="21"/>
          <w:highlight w:val="white"/>
          <w:lang w:val="en-US"/>
        </w:rPr>
        <w:t>The members of the WG will liaise through their organizations with existing activitie</w:t>
      </w:r>
      <w:r w:rsidRPr="00A00FE0">
        <w:rPr>
          <w:sz w:val="21"/>
          <w:szCs w:val="21"/>
          <w:highlight w:val="white"/>
          <w:lang w:val="en-US"/>
        </w:rPr>
        <w:t>s in the area of fisheries data exchange and overall activities to foster data interoperability. The engagement will allow the WG to tap into a wide knowledge base of data exchange specialist, and prepare its recommendations that may also be of value to ex</w:t>
      </w:r>
      <w:r w:rsidRPr="00A00FE0">
        <w:rPr>
          <w:sz w:val="21"/>
          <w:szCs w:val="21"/>
          <w:highlight w:val="white"/>
          <w:lang w:val="en-US"/>
        </w:rPr>
        <w:t xml:space="preserve">perts beyond the domain of fisheries data exchange, such as legal interoperability and geospatial metadata experts. </w:t>
      </w:r>
    </w:p>
    <w:p w:rsidR="000D0ADF" w:rsidRPr="00A00FE0" w:rsidRDefault="00F53373">
      <w:pPr>
        <w:numPr>
          <w:ilvl w:val="0"/>
          <w:numId w:val="2"/>
        </w:numPr>
        <w:spacing w:before="160" w:after="160" w:line="312" w:lineRule="auto"/>
        <w:ind w:hanging="360"/>
        <w:contextualSpacing/>
        <w:rPr>
          <w:sz w:val="21"/>
          <w:szCs w:val="21"/>
          <w:highlight w:val="white"/>
          <w:lang w:val="en-US"/>
        </w:rPr>
      </w:pPr>
      <w:proofErr w:type="spellStart"/>
      <w:r w:rsidRPr="00A00FE0">
        <w:rPr>
          <w:sz w:val="21"/>
          <w:szCs w:val="21"/>
          <w:highlight w:val="white"/>
          <w:lang w:val="en-US"/>
        </w:rPr>
        <w:t>iMarine</w:t>
      </w:r>
      <w:proofErr w:type="spellEnd"/>
      <w:r w:rsidRPr="00A00FE0">
        <w:rPr>
          <w:sz w:val="21"/>
          <w:szCs w:val="21"/>
          <w:highlight w:val="white"/>
          <w:lang w:val="en-US"/>
        </w:rPr>
        <w:t xml:space="preserve"> / </w:t>
      </w:r>
      <w:proofErr w:type="spellStart"/>
      <w:r w:rsidRPr="00A00FE0">
        <w:rPr>
          <w:sz w:val="21"/>
          <w:szCs w:val="21"/>
          <w:highlight w:val="white"/>
          <w:lang w:val="en-US"/>
        </w:rPr>
        <w:t>BlueBRIDGE</w:t>
      </w:r>
      <w:proofErr w:type="spellEnd"/>
      <w:r w:rsidRPr="00A00FE0">
        <w:rPr>
          <w:sz w:val="21"/>
          <w:szCs w:val="21"/>
          <w:highlight w:val="white"/>
          <w:lang w:val="en-US"/>
        </w:rPr>
        <w:t xml:space="preserve">: Tuna Atlas use case for RFMOs datasets, </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ICCAT BFT-E Stock Assessment working group to facilitate stock assessment da</w:t>
      </w:r>
      <w:r w:rsidRPr="00A00FE0">
        <w:rPr>
          <w:sz w:val="21"/>
          <w:szCs w:val="21"/>
          <w:highlight w:val="white"/>
          <w:lang w:val="en-US"/>
        </w:rPr>
        <w:t>tasets sharing,</w:t>
      </w:r>
    </w:p>
    <w:p w:rsidR="000D0ADF" w:rsidRDefault="00F53373">
      <w:pPr>
        <w:numPr>
          <w:ilvl w:val="0"/>
          <w:numId w:val="2"/>
        </w:numPr>
        <w:spacing w:before="160" w:after="160" w:line="312" w:lineRule="auto"/>
        <w:ind w:hanging="360"/>
        <w:contextualSpacing/>
        <w:rPr>
          <w:sz w:val="21"/>
          <w:szCs w:val="21"/>
          <w:highlight w:val="white"/>
        </w:rPr>
      </w:pPr>
      <w:r>
        <w:rPr>
          <w:sz w:val="21"/>
          <w:szCs w:val="21"/>
          <w:highlight w:val="white"/>
        </w:rPr>
        <w:t>OpenAIRE open data specialists,</w:t>
      </w:r>
    </w:p>
    <w:p w:rsidR="000D0ADF" w:rsidRPr="00A00FE0" w:rsidRDefault="00F53373">
      <w:pPr>
        <w:numPr>
          <w:ilvl w:val="0"/>
          <w:numId w:val="2"/>
        </w:numPr>
        <w:spacing w:before="160" w:after="160" w:line="312" w:lineRule="auto"/>
        <w:ind w:hanging="360"/>
        <w:contextualSpacing/>
        <w:rPr>
          <w:sz w:val="21"/>
          <w:szCs w:val="21"/>
          <w:highlight w:val="white"/>
          <w:lang w:val="en-US"/>
        </w:rPr>
      </w:pPr>
      <w:proofErr w:type="spellStart"/>
      <w:r w:rsidRPr="00A00FE0">
        <w:rPr>
          <w:sz w:val="21"/>
          <w:szCs w:val="21"/>
          <w:highlight w:val="white"/>
          <w:lang w:val="en-US"/>
        </w:rPr>
        <w:t>Agroknow</w:t>
      </w:r>
      <w:proofErr w:type="spellEnd"/>
      <w:r w:rsidRPr="00A00FE0">
        <w:rPr>
          <w:sz w:val="21"/>
          <w:szCs w:val="21"/>
          <w:highlight w:val="white"/>
          <w:lang w:val="en-US"/>
        </w:rPr>
        <w:t xml:space="preserve"> network of expertise on open data sharing,</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EGI Engage e.g. for legal interoperability,</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IRD scientific data collection activities,</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FAO and Eurostat SDMX SEIF initiative,  </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DG-MARE: FLUX initiative (in particular VMS &amp; </w:t>
      </w:r>
      <w:proofErr w:type="spellStart"/>
      <w:r w:rsidRPr="00A00FE0">
        <w:rPr>
          <w:sz w:val="21"/>
          <w:szCs w:val="21"/>
          <w:highlight w:val="white"/>
          <w:lang w:val="en-US"/>
        </w:rPr>
        <w:t>elogbooks</w:t>
      </w:r>
      <w:proofErr w:type="spellEnd"/>
      <w:r w:rsidRPr="00A00FE0">
        <w:rPr>
          <w:sz w:val="21"/>
          <w:szCs w:val="21"/>
          <w:highlight w:val="white"/>
          <w:lang w:val="en-US"/>
        </w:rPr>
        <w:t>) and DCF / DCMAP,</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FAO CWP standards for fisheries reference data,</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OGC geospatial standards setting organization.</w:t>
      </w:r>
    </w:p>
    <w:p w:rsidR="000D0ADF" w:rsidRPr="00A00FE0" w:rsidRDefault="00F53373">
      <w:pPr>
        <w:spacing w:before="160" w:after="160" w:line="312" w:lineRule="auto"/>
        <w:rPr>
          <w:lang w:val="en-US"/>
        </w:rPr>
      </w:pPr>
      <w:r w:rsidRPr="00A00FE0">
        <w:rPr>
          <w:sz w:val="21"/>
          <w:szCs w:val="21"/>
          <w:highlight w:val="white"/>
          <w:lang w:val="en-US"/>
        </w:rPr>
        <w:t xml:space="preserve">Through the engagement work, a list of </w:t>
      </w:r>
      <w:r w:rsidRPr="00A00FE0">
        <w:rPr>
          <w:b/>
          <w:sz w:val="21"/>
          <w:szCs w:val="21"/>
          <w:highlight w:val="white"/>
          <w:lang w:val="en-US"/>
        </w:rPr>
        <w:t>potential adopters</w:t>
      </w:r>
      <w:r w:rsidRPr="00A00FE0">
        <w:rPr>
          <w:sz w:val="21"/>
          <w:szCs w:val="21"/>
          <w:highlight w:val="white"/>
          <w:lang w:val="en-US"/>
        </w:rPr>
        <w:t xml:space="preserve"> of the WG products will emerg</w:t>
      </w:r>
      <w:r w:rsidRPr="00A00FE0">
        <w:rPr>
          <w:sz w:val="21"/>
          <w:szCs w:val="21"/>
          <w:highlight w:val="white"/>
          <w:lang w:val="en-US"/>
        </w:rPr>
        <w:t xml:space="preserve">e. Specific statements of interest and priority needs are expected from the invited participants while the WG is established. Examples of interoperable data flows that could benefit from the application of WG reference models and best practices include: </w:t>
      </w:r>
    </w:p>
    <w:p w:rsidR="000D0ADF" w:rsidRPr="00A00FE0" w:rsidRDefault="00F53373">
      <w:pPr>
        <w:numPr>
          <w:ilvl w:val="0"/>
          <w:numId w:val="2"/>
        </w:numPr>
        <w:spacing w:before="160" w:after="160" w:line="312" w:lineRule="auto"/>
        <w:ind w:hanging="360"/>
        <w:contextualSpacing/>
        <w:rPr>
          <w:sz w:val="21"/>
          <w:szCs w:val="21"/>
          <w:highlight w:val="white"/>
          <w:lang w:val="en-US"/>
        </w:rPr>
      </w:pPr>
      <w:r w:rsidRPr="00A00FE0">
        <w:rPr>
          <w:sz w:val="21"/>
          <w:szCs w:val="21"/>
          <w:highlight w:val="white"/>
          <w:lang w:val="en-US"/>
        </w:rPr>
        <w:t>F</w:t>
      </w:r>
      <w:r w:rsidRPr="00A00FE0">
        <w:rPr>
          <w:sz w:val="21"/>
          <w:szCs w:val="21"/>
          <w:highlight w:val="white"/>
          <w:lang w:val="en-US"/>
        </w:rPr>
        <w:t xml:space="preserve">AO Fisheries and Aquaculture department: </w:t>
      </w:r>
    </w:p>
    <w:p w:rsidR="000D0ADF" w:rsidRPr="00A00FE0" w:rsidRDefault="00F53373">
      <w:pPr>
        <w:numPr>
          <w:ilvl w:val="1"/>
          <w:numId w:val="2"/>
        </w:numPr>
        <w:spacing w:before="160" w:after="160" w:line="312" w:lineRule="auto"/>
        <w:ind w:hanging="360"/>
        <w:contextualSpacing/>
        <w:rPr>
          <w:sz w:val="21"/>
          <w:szCs w:val="21"/>
          <w:highlight w:val="white"/>
          <w:lang w:val="en-US"/>
        </w:rPr>
      </w:pPr>
      <w:r w:rsidRPr="00A00FE0">
        <w:rPr>
          <w:sz w:val="21"/>
          <w:szCs w:val="21"/>
          <w:highlight w:val="white"/>
          <w:lang w:val="en-US"/>
        </w:rPr>
        <w:t>data ingestion from regional fishery bodies, fisheries organizations or members states; regional databases to support scientific process;</w:t>
      </w:r>
    </w:p>
    <w:p w:rsidR="000D0ADF" w:rsidRPr="00A00FE0" w:rsidRDefault="00F53373">
      <w:pPr>
        <w:numPr>
          <w:ilvl w:val="1"/>
          <w:numId w:val="2"/>
        </w:numPr>
        <w:spacing w:before="160" w:after="160" w:line="312" w:lineRule="auto"/>
        <w:ind w:hanging="360"/>
        <w:contextualSpacing/>
        <w:rPr>
          <w:sz w:val="21"/>
          <w:szCs w:val="21"/>
          <w:highlight w:val="white"/>
          <w:lang w:val="en-US"/>
        </w:rPr>
      </w:pPr>
      <w:r w:rsidRPr="00A00FE0">
        <w:rPr>
          <w:sz w:val="21"/>
          <w:szCs w:val="21"/>
          <w:highlight w:val="white"/>
          <w:lang w:val="en-US"/>
        </w:rPr>
        <w:t>improve the statistical data exchange in line with CWP’s SDMX initiative;</w:t>
      </w:r>
    </w:p>
    <w:p w:rsidR="000D0ADF" w:rsidRPr="00A00FE0" w:rsidRDefault="00F53373">
      <w:pPr>
        <w:numPr>
          <w:ilvl w:val="1"/>
          <w:numId w:val="2"/>
        </w:numPr>
        <w:spacing w:before="160" w:after="160" w:line="312" w:lineRule="auto"/>
        <w:ind w:hanging="360"/>
        <w:contextualSpacing/>
        <w:rPr>
          <w:sz w:val="21"/>
          <w:szCs w:val="21"/>
          <w:highlight w:val="white"/>
          <w:lang w:val="en-US"/>
        </w:rPr>
      </w:pPr>
      <w:r w:rsidRPr="00A00FE0">
        <w:rPr>
          <w:sz w:val="21"/>
          <w:szCs w:val="21"/>
          <w:highlight w:val="white"/>
          <w:lang w:val="en-US"/>
        </w:rPr>
        <w:t>Im</w:t>
      </w:r>
      <w:r w:rsidRPr="00A00FE0">
        <w:rPr>
          <w:sz w:val="21"/>
          <w:szCs w:val="21"/>
          <w:highlight w:val="white"/>
          <w:lang w:val="en-US"/>
        </w:rPr>
        <w:t>prove the geospatial data exchange building on CWP’s geospatial standards work group;</w:t>
      </w:r>
    </w:p>
    <w:p w:rsidR="000D0ADF" w:rsidRDefault="00F53373">
      <w:pPr>
        <w:numPr>
          <w:ilvl w:val="0"/>
          <w:numId w:val="2"/>
        </w:numPr>
        <w:spacing w:before="160" w:after="160" w:line="312" w:lineRule="auto"/>
        <w:ind w:hanging="360"/>
        <w:contextualSpacing/>
        <w:rPr>
          <w:sz w:val="21"/>
          <w:szCs w:val="21"/>
          <w:highlight w:val="white"/>
        </w:rPr>
      </w:pPr>
      <w:r>
        <w:rPr>
          <w:sz w:val="21"/>
          <w:szCs w:val="21"/>
          <w:highlight w:val="white"/>
        </w:rPr>
        <w:t>IRD:</w:t>
      </w:r>
    </w:p>
    <w:p w:rsidR="000D0ADF" w:rsidRPr="00A00FE0" w:rsidRDefault="00F53373">
      <w:pPr>
        <w:numPr>
          <w:ilvl w:val="1"/>
          <w:numId w:val="2"/>
        </w:numPr>
        <w:spacing w:before="160" w:after="160" w:line="312" w:lineRule="auto"/>
        <w:ind w:hanging="360"/>
        <w:contextualSpacing/>
        <w:rPr>
          <w:sz w:val="21"/>
          <w:szCs w:val="21"/>
          <w:highlight w:val="white"/>
          <w:lang w:val="en-US"/>
        </w:rPr>
      </w:pPr>
      <w:r w:rsidRPr="00A00FE0">
        <w:rPr>
          <w:sz w:val="21"/>
          <w:szCs w:val="21"/>
          <w:highlight w:val="white"/>
          <w:lang w:val="en-US"/>
        </w:rPr>
        <w:t>improve fisheries observers’ data flows to support regional fisheries bodies;</w:t>
      </w:r>
    </w:p>
    <w:p w:rsidR="000D0ADF" w:rsidRDefault="00F53373">
      <w:pPr>
        <w:numPr>
          <w:ilvl w:val="1"/>
          <w:numId w:val="2"/>
        </w:numPr>
        <w:spacing w:before="160" w:after="160" w:line="312" w:lineRule="auto"/>
        <w:ind w:hanging="360"/>
        <w:contextualSpacing/>
        <w:rPr>
          <w:sz w:val="21"/>
          <w:szCs w:val="21"/>
          <w:highlight w:val="white"/>
        </w:rPr>
      </w:pPr>
      <w:r>
        <w:rPr>
          <w:sz w:val="21"/>
          <w:szCs w:val="21"/>
          <w:highlight w:val="white"/>
        </w:rPr>
        <w:t xml:space="preserve">Improve scientific data flows;  </w:t>
      </w:r>
    </w:p>
    <w:p w:rsidR="000D0ADF" w:rsidRPr="00A00FE0" w:rsidRDefault="00F53373">
      <w:pPr>
        <w:numPr>
          <w:ilvl w:val="1"/>
          <w:numId w:val="2"/>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improve the quality of </w:t>
      </w:r>
      <w:proofErr w:type="spellStart"/>
      <w:r w:rsidRPr="00A00FE0">
        <w:rPr>
          <w:sz w:val="21"/>
          <w:szCs w:val="21"/>
          <w:highlight w:val="white"/>
          <w:lang w:val="en-US"/>
        </w:rPr>
        <w:t>NetCDF</w:t>
      </w:r>
      <w:proofErr w:type="spellEnd"/>
      <w:r w:rsidRPr="00A00FE0">
        <w:rPr>
          <w:sz w:val="21"/>
          <w:szCs w:val="21"/>
          <w:highlight w:val="white"/>
          <w:lang w:val="en-US"/>
        </w:rPr>
        <w:t xml:space="preserve"> metadata;</w:t>
      </w:r>
    </w:p>
    <w:p w:rsidR="000D0ADF" w:rsidRDefault="00F53373">
      <w:pPr>
        <w:numPr>
          <w:ilvl w:val="0"/>
          <w:numId w:val="2"/>
        </w:numPr>
        <w:spacing w:before="160" w:after="160" w:line="312" w:lineRule="auto"/>
        <w:ind w:hanging="360"/>
        <w:contextualSpacing/>
        <w:rPr>
          <w:sz w:val="21"/>
          <w:szCs w:val="21"/>
          <w:highlight w:val="white"/>
        </w:rPr>
      </w:pPr>
      <w:r>
        <w:rPr>
          <w:sz w:val="21"/>
          <w:szCs w:val="21"/>
          <w:highlight w:val="white"/>
        </w:rPr>
        <w:t>EU:</w:t>
      </w:r>
    </w:p>
    <w:p w:rsidR="000D0ADF" w:rsidRPr="00A00FE0" w:rsidRDefault="00F53373">
      <w:pPr>
        <w:numPr>
          <w:ilvl w:val="1"/>
          <w:numId w:val="2"/>
        </w:numPr>
        <w:spacing w:before="160" w:after="160" w:line="312" w:lineRule="auto"/>
        <w:ind w:hanging="360"/>
        <w:contextualSpacing/>
        <w:rPr>
          <w:sz w:val="21"/>
          <w:szCs w:val="21"/>
          <w:highlight w:val="white"/>
          <w:lang w:val="en-US"/>
        </w:rPr>
      </w:pPr>
      <w:r w:rsidRPr="00A00FE0">
        <w:rPr>
          <w:sz w:val="21"/>
          <w:szCs w:val="21"/>
          <w:highlight w:val="white"/>
          <w:lang w:val="en-US"/>
        </w:rPr>
        <w:t>Ease interoperability between FLUX and SDMX;</w:t>
      </w:r>
    </w:p>
    <w:p w:rsidR="000D0ADF" w:rsidRPr="00A00FE0" w:rsidRDefault="00F53373">
      <w:pPr>
        <w:numPr>
          <w:ilvl w:val="1"/>
          <w:numId w:val="2"/>
        </w:numPr>
        <w:spacing w:before="160" w:after="160" w:line="312" w:lineRule="auto"/>
        <w:ind w:hanging="360"/>
        <w:contextualSpacing/>
        <w:rPr>
          <w:sz w:val="21"/>
          <w:szCs w:val="21"/>
          <w:highlight w:val="white"/>
          <w:lang w:val="en-US"/>
        </w:rPr>
      </w:pPr>
      <w:r w:rsidRPr="00A00FE0">
        <w:rPr>
          <w:sz w:val="21"/>
          <w:szCs w:val="21"/>
          <w:highlight w:val="white"/>
          <w:lang w:val="en-US"/>
        </w:rPr>
        <w:t xml:space="preserve">Ease interoperability between FLUX and </w:t>
      </w:r>
      <w:proofErr w:type="spellStart"/>
      <w:r w:rsidRPr="00A00FE0">
        <w:rPr>
          <w:sz w:val="21"/>
          <w:szCs w:val="21"/>
          <w:highlight w:val="white"/>
          <w:lang w:val="en-US"/>
        </w:rPr>
        <w:t>FishFrame</w:t>
      </w:r>
      <w:proofErr w:type="spellEnd"/>
      <w:r w:rsidRPr="00A00FE0">
        <w:rPr>
          <w:sz w:val="21"/>
          <w:szCs w:val="21"/>
          <w:highlight w:val="white"/>
          <w:lang w:val="en-US"/>
        </w:rPr>
        <w:t>.</w:t>
      </w:r>
    </w:p>
    <w:p w:rsidR="000D0ADF" w:rsidRPr="00A00FE0" w:rsidRDefault="00F53373">
      <w:pPr>
        <w:rPr>
          <w:lang w:val="en-US"/>
        </w:rPr>
      </w:pPr>
      <w:r w:rsidRPr="00A00FE0">
        <w:rPr>
          <w:lang w:val="en-US"/>
        </w:rPr>
        <w:br w:type="page"/>
      </w:r>
    </w:p>
    <w:p w:rsidR="000D0ADF" w:rsidRPr="00A00FE0" w:rsidRDefault="000D0ADF">
      <w:pPr>
        <w:pStyle w:val="Heading1"/>
        <w:contextualSpacing w:val="0"/>
        <w:rPr>
          <w:lang w:val="en-US"/>
        </w:rPr>
      </w:pPr>
      <w:bookmarkStart w:id="8" w:name="_rzw18g61099e" w:colFirst="0" w:colLast="0"/>
      <w:bookmarkEnd w:id="8"/>
    </w:p>
    <w:p w:rsidR="000D0ADF" w:rsidRPr="00A00FE0" w:rsidRDefault="00F53373">
      <w:pPr>
        <w:pStyle w:val="Heading1"/>
        <w:contextualSpacing w:val="0"/>
        <w:rPr>
          <w:lang w:val="en-US"/>
        </w:rPr>
      </w:pPr>
      <w:bookmarkStart w:id="9" w:name="_pgvcbk9709zx" w:colFirst="0" w:colLast="0"/>
      <w:bookmarkEnd w:id="9"/>
      <w:r w:rsidRPr="00A00FE0">
        <w:rPr>
          <w:lang w:val="en-US"/>
        </w:rPr>
        <w:t xml:space="preserve">Work Plan </w:t>
      </w:r>
    </w:p>
    <w:p w:rsidR="000D0ADF" w:rsidRPr="00A00FE0" w:rsidRDefault="00F53373">
      <w:pPr>
        <w:pStyle w:val="Heading2"/>
        <w:spacing w:before="160" w:line="384" w:lineRule="auto"/>
        <w:ind w:right="300"/>
        <w:contextualSpacing w:val="0"/>
        <w:rPr>
          <w:lang w:val="en-US"/>
        </w:rPr>
      </w:pPr>
      <w:bookmarkStart w:id="10" w:name="_2qh9yawqomc0" w:colFirst="0" w:colLast="0"/>
      <w:bookmarkEnd w:id="10"/>
      <w:r w:rsidRPr="00A00FE0">
        <w:rPr>
          <w:lang w:val="en-US"/>
        </w:rPr>
        <w:t>Work plan components</w:t>
      </w:r>
    </w:p>
    <w:p w:rsidR="000D0ADF" w:rsidRPr="00A00FE0" w:rsidRDefault="00F53373">
      <w:pPr>
        <w:pStyle w:val="Heading3"/>
        <w:spacing w:before="160" w:line="384" w:lineRule="auto"/>
        <w:ind w:right="300"/>
        <w:contextualSpacing w:val="0"/>
        <w:rPr>
          <w:lang w:val="en-US"/>
        </w:rPr>
      </w:pPr>
      <w:bookmarkStart w:id="11" w:name="_5mbcf518ebkr" w:colFirst="0" w:colLast="0"/>
      <w:bookmarkEnd w:id="11"/>
      <w:r w:rsidRPr="00A00FE0">
        <w:rPr>
          <w:b/>
          <w:lang w:val="en-US"/>
        </w:rPr>
        <w:t xml:space="preserve">Inventory of existing formats to support solutions (months 1-4) </w:t>
      </w:r>
    </w:p>
    <w:p w:rsidR="000D0ADF" w:rsidRPr="00A00FE0" w:rsidRDefault="00F53373">
      <w:pPr>
        <w:spacing w:before="160" w:line="312" w:lineRule="auto"/>
        <w:ind w:right="300"/>
        <w:rPr>
          <w:lang w:val="en-US"/>
        </w:rPr>
      </w:pPr>
      <w:r w:rsidRPr="00A00FE0">
        <w:rPr>
          <w:sz w:val="21"/>
          <w:szCs w:val="21"/>
          <w:highlight w:val="white"/>
          <w:lang w:val="en-US"/>
        </w:rPr>
        <w:t>The first months after the WG has been established, a consultation of existing formats and activities related to fisheries data will identify:</w:t>
      </w:r>
    </w:p>
    <w:p w:rsidR="000D0ADF" w:rsidRPr="00A00FE0" w:rsidRDefault="00F53373">
      <w:pPr>
        <w:numPr>
          <w:ilvl w:val="0"/>
          <w:numId w:val="1"/>
        </w:numPr>
        <w:spacing w:before="160" w:line="384" w:lineRule="auto"/>
        <w:ind w:right="300" w:hanging="360"/>
        <w:contextualSpacing/>
        <w:rPr>
          <w:sz w:val="21"/>
          <w:szCs w:val="21"/>
          <w:highlight w:val="white"/>
          <w:lang w:val="en-US"/>
        </w:rPr>
      </w:pPr>
      <w:r w:rsidRPr="00A00FE0">
        <w:rPr>
          <w:sz w:val="21"/>
          <w:szCs w:val="21"/>
          <w:highlight w:val="white"/>
          <w:lang w:val="en-US"/>
        </w:rPr>
        <w:t>Data formats, existing and proposed,</w:t>
      </w:r>
    </w:p>
    <w:p w:rsidR="000D0ADF" w:rsidRPr="00A00FE0" w:rsidRDefault="00F53373">
      <w:pPr>
        <w:numPr>
          <w:ilvl w:val="0"/>
          <w:numId w:val="1"/>
        </w:numPr>
        <w:spacing w:before="160" w:line="384" w:lineRule="auto"/>
        <w:ind w:right="300" w:hanging="360"/>
        <w:contextualSpacing/>
        <w:rPr>
          <w:sz w:val="21"/>
          <w:szCs w:val="21"/>
          <w:highlight w:val="white"/>
          <w:lang w:val="en-US"/>
        </w:rPr>
      </w:pPr>
      <w:r w:rsidRPr="00A00FE0">
        <w:rPr>
          <w:sz w:val="21"/>
          <w:szCs w:val="21"/>
          <w:highlight w:val="white"/>
          <w:lang w:val="en-US"/>
        </w:rPr>
        <w:t>Data exchange needs and examples,</w:t>
      </w:r>
    </w:p>
    <w:p w:rsidR="000D0ADF" w:rsidRPr="00A00FE0" w:rsidRDefault="00F53373">
      <w:pPr>
        <w:numPr>
          <w:ilvl w:val="0"/>
          <w:numId w:val="1"/>
        </w:numPr>
        <w:spacing w:before="160" w:line="384" w:lineRule="auto"/>
        <w:ind w:right="300" w:hanging="360"/>
        <w:contextualSpacing/>
        <w:rPr>
          <w:sz w:val="21"/>
          <w:szCs w:val="21"/>
          <w:highlight w:val="white"/>
          <w:lang w:val="en-US"/>
        </w:rPr>
      </w:pPr>
      <w:r w:rsidRPr="00A00FE0">
        <w:rPr>
          <w:sz w:val="21"/>
          <w:szCs w:val="21"/>
          <w:highlight w:val="white"/>
          <w:lang w:val="en-US"/>
        </w:rPr>
        <w:t>Data access and storage existing solutions</w:t>
      </w:r>
      <w:r w:rsidRPr="00A00FE0">
        <w:rPr>
          <w:sz w:val="21"/>
          <w:szCs w:val="21"/>
          <w:highlight w:val="white"/>
          <w:lang w:val="en-US"/>
        </w:rPr>
        <w:t xml:space="preserve"> and development proposals</w:t>
      </w:r>
    </w:p>
    <w:p w:rsidR="000D0ADF" w:rsidRPr="00A00FE0" w:rsidRDefault="00F53373">
      <w:pPr>
        <w:spacing w:before="160" w:line="312" w:lineRule="auto"/>
        <w:ind w:right="300"/>
        <w:rPr>
          <w:lang w:val="en-US"/>
        </w:rPr>
      </w:pPr>
      <w:r w:rsidRPr="00A00FE0">
        <w:rPr>
          <w:sz w:val="21"/>
          <w:szCs w:val="21"/>
          <w:highlight w:val="white"/>
          <w:lang w:val="en-US"/>
        </w:rPr>
        <w:t>We will evaluate recommended data exchange approaches for several specific scenarios and select pilot candidates for a demonstration. The selection of these candidates will be in close cooperation with stakeholders and data owner</w:t>
      </w:r>
      <w:r w:rsidRPr="00A00FE0">
        <w:rPr>
          <w:sz w:val="21"/>
          <w:szCs w:val="21"/>
          <w:highlight w:val="white"/>
          <w:lang w:val="en-US"/>
        </w:rPr>
        <w:t xml:space="preserve">s. In this phase, a detailed report of the technical aspects of data sharing approaches will be developed. </w:t>
      </w:r>
    </w:p>
    <w:p w:rsidR="000D0ADF" w:rsidRPr="00A00FE0" w:rsidRDefault="00F53373">
      <w:pPr>
        <w:spacing w:before="160" w:line="312" w:lineRule="auto"/>
        <w:ind w:right="300"/>
        <w:rPr>
          <w:lang w:val="en-US"/>
        </w:rPr>
      </w:pPr>
      <w:r w:rsidRPr="00A00FE0">
        <w:rPr>
          <w:sz w:val="21"/>
          <w:szCs w:val="21"/>
          <w:highlight w:val="white"/>
          <w:lang w:val="en-US"/>
        </w:rPr>
        <w:t>Examples of scenarios where the WG can propose data interoperability solutions could be selected for inclusion in the report include:</w:t>
      </w:r>
    </w:p>
    <w:p w:rsidR="000D0ADF" w:rsidRPr="00A00FE0" w:rsidRDefault="00F53373">
      <w:pPr>
        <w:numPr>
          <w:ilvl w:val="0"/>
          <w:numId w:val="4"/>
        </w:numPr>
        <w:spacing w:before="160" w:line="384" w:lineRule="auto"/>
        <w:ind w:right="300" w:hanging="360"/>
        <w:contextualSpacing/>
        <w:rPr>
          <w:sz w:val="21"/>
          <w:szCs w:val="21"/>
          <w:highlight w:val="white"/>
          <w:lang w:val="en-US"/>
        </w:rPr>
      </w:pPr>
      <w:r w:rsidRPr="00A00FE0">
        <w:rPr>
          <w:sz w:val="21"/>
          <w:szCs w:val="21"/>
          <w:highlight w:val="white"/>
          <w:lang w:val="en-US"/>
        </w:rPr>
        <w:t>Globally estab</w:t>
      </w:r>
      <w:r w:rsidRPr="00A00FE0">
        <w:rPr>
          <w:sz w:val="21"/>
          <w:szCs w:val="21"/>
          <w:highlight w:val="white"/>
          <w:lang w:val="en-US"/>
        </w:rPr>
        <w:t xml:space="preserve">lished data frameworks interoperability; what are the technical challenges in re-using data collected through e.g. FLUX or SDMX work-flows? </w:t>
      </w:r>
    </w:p>
    <w:p w:rsidR="000D0ADF" w:rsidRPr="00A00FE0" w:rsidRDefault="00F53373">
      <w:pPr>
        <w:numPr>
          <w:ilvl w:val="0"/>
          <w:numId w:val="4"/>
        </w:numPr>
        <w:spacing w:before="160" w:line="384" w:lineRule="auto"/>
        <w:ind w:right="300" w:hanging="360"/>
        <w:contextualSpacing/>
        <w:rPr>
          <w:sz w:val="21"/>
          <w:szCs w:val="21"/>
          <w:highlight w:val="white"/>
          <w:lang w:val="en-US"/>
        </w:rPr>
      </w:pPr>
      <w:r w:rsidRPr="00A00FE0">
        <w:rPr>
          <w:sz w:val="21"/>
          <w:szCs w:val="21"/>
          <w:highlight w:val="white"/>
          <w:lang w:val="en-US"/>
        </w:rPr>
        <w:t>Improve coverage and re-usability of on-board collected data such as by-catch reports by harmonizing reference data</w:t>
      </w:r>
      <w:r w:rsidRPr="00A00FE0">
        <w:rPr>
          <w:sz w:val="21"/>
          <w:szCs w:val="21"/>
          <w:highlight w:val="white"/>
          <w:lang w:val="en-US"/>
        </w:rPr>
        <w:t xml:space="preserve"> through master data management; can the interoperability of collected data be improved by relying on global reference data for e.g. species names, gear classifications, and area references;</w:t>
      </w:r>
    </w:p>
    <w:p w:rsidR="000D0ADF" w:rsidRPr="00A00FE0" w:rsidRDefault="00F53373">
      <w:pPr>
        <w:numPr>
          <w:ilvl w:val="0"/>
          <w:numId w:val="4"/>
        </w:numPr>
        <w:spacing w:before="160" w:line="384" w:lineRule="auto"/>
        <w:ind w:right="300" w:hanging="360"/>
        <w:contextualSpacing/>
        <w:rPr>
          <w:sz w:val="21"/>
          <w:szCs w:val="21"/>
          <w:highlight w:val="white"/>
          <w:lang w:val="en-US"/>
        </w:rPr>
      </w:pPr>
      <w:r w:rsidRPr="00A00FE0">
        <w:rPr>
          <w:sz w:val="21"/>
          <w:szCs w:val="21"/>
          <w:highlight w:val="white"/>
          <w:lang w:val="en-US"/>
        </w:rPr>
        <w:t xml:space="preserve">Legal interoperability requirements; what provisions do exist in </w:t>
      </w:r>
      <w:r w:rsidRPr="00A00FE0">
        <w:rPr>
          <w:sz w:val="21"/>
          <w:szCs w:val="21"/>
          <w:highlight w:val="white"/>
          <w:lang w:val="en-US"/>
        </w:rPr>
        <w:t>current data exchange mechanisms to ensure that the data are properly described from a legal perspective through descriptive metadata on license, copyright, and ownership</w:t>
      </w:r>
    </w:p>
    <w:p w:rsidR="000D0ADF" w:rsidRPr="00A00FE0" w:rsidRDefault="00F53373">
      <w:pPr>
        <w:numPr>
          <w:ilvl w:val="0"/>
          <w:numId w:val="4"/>
        </w:numPr>
        <w:spacing w:before="160" w:line="384" w:lineRule="auto"/>
        <w:ind w:right="300" w:hanging="360"/>
        <w:contextualSpacing/>
        <w:rPr>
          <w:sz w:val="21"/>
          <w:szCs w:val="21"/>
          <w:highlight w:val="white"/>
          <w:lang w:val="en-US"/>
        </w:rPr>
      </w:pPr>
      <w:r w:rsidRPr="00A00FE0">
        <w:rPr>
          <w:sz w:val="21"/>
          <w:szCs w:val="21"/>
          <w:highlight w:val="white"/>
          <w:lang w:val="en-US"/>
        </w:rPr>
        <w:t>Spatial data interoperability of fisheries geospatial explicit data such as gridded d</w:t>
      </w:r>
      <w:r w:rsidRPr="00A00FE0">
        <w:rPr>
          <w:sz w:val="21"/>
          <w:szCs w:val="21"/>
          <w:highlight w:val="white"/>
          <w:lang w:val="en-US"/>
        </w:rPr>
        <w:t xml:space="preserve">atasets (Tuna Atlas example) through descriptive metadata; </w:t>
      </w:r>
    </w:p>
    <w:p w:rsidR="000D0ADF" w:rsidRPr="00A00FE0" w:rsidRDefault="00F53373">
      <w:pPr>
        <w:numPr>
          <w:ilvl w:val="0"/>
          <w:numId w:val="4"/>
        </w:numPr>
        <w:spacing w:before="160" w:line="384" w:lineRule="auto"/>
        <w:ind w:right="300" w:hanging="360"/>
        <w:contextualSpacing/>
        <w:rPr>
          <w:sz w:val="21"/>
          <w:szCs w:val="21"/>
          <w:highlight w:val="white"/>
          <w:lang w:val="en-US"/>
        </w:rPr>
      </w:pPr>
      <w:r w:rsidRPr="00A00FE0">
        <w:rPr>
          <w:sz w:val="21"/>
          <w:szCs w:val="21"/>
          <w:highlight w:val="white"/>
          <w:lang w:val="en-US"/>
        </w:rPr>
        <w:t xml:space="preserve">Identify requirements for additional data formats for activities such as vessel or FAD (Fishing Aggregating Devices) trajectories </w:t>
      </w:r>
    </w:p>
    <w:p w:rsidR="000D0ADF" w:rsidRPr="00A00FE0" w:rsidRDefault="00F53373">
      <w:pPr>
        <w:spacing w:before="160" w:line="384" w:lineRule="auto"/>
        <w:ind w:right="300"/>
        <w:rPr>
          <w:lang w:val="en-US"/>
        </w:rPr>
      </w:pPr>
      <w:r w:rsidRPr="00A00FE0">
        <w:rPr>
          <w:sz w:val="21"/>
          <w:szCs w:val="21"/>
          <w:highlight w:val="white"/>
          <w:lang w:val="en-US"/>
        </w:rPr>
        <w:t>The WG will not meet physically, but be consulted on-line with se</w:t>
      </w:r>
      <w:r w:rsidRPr="00A00FE0">
        <w:rPr>
          <w:sz w:val="21"/>
          <w:szCs w:val="21"/>
          <w:highlight w:val="white"/>
          <w:lang w:val="en-US"/>
        </w:rPr>
        <w:t>veral on-line WG meetings.</w:t>
      </w:r>
    </w:p>
    <w:p w:rsidR="000D0ADF" w:rsidRPr="00A00FE0" w:rsidRDefault="00F53373">
      <w:pPr>
        <w:spacing w:before="160" w:line="384" w:lineRule="auto"/>
        <w:ind w:right="300"/>
        <w:rPr>
          <w:lang w:val="en-US"/>
        </w:rPr>
      </w:pPr>
      <w:r w:rsidRPr="00A00FE0">
        <w:rPr>
          <w:sz w:val="21"/>
          <w:szCs w:val="21"/>
          <w:highlight w:val="white"/>
          <w:lang w:val="en-US"/>
        </w:rPr>
        <w:t>This report will be the Deliverable of this phase.</w:t>
      </w:r>
    </w:p>
    <w:p w:rsidR="000D0ADF" w:rsidRPr="00A00FE0" w:rsidRDefault="000D0ADF">
      <w:pPr>
        <w:spacing w:before="160" w:line="384" w:lineRule="auto"/>
        <w:ind w:right="300"/>
        <w:rPr>
          <w:lang w:val="en-US"/>
        </w:rPr>
      </w:pPr>
    </w:p>
    <w:p w:rsidR="000D0ADF" w:rsidRPr="00A00FE0" w:rsidRDefault="00F53373">
      <w:pPr>
        <w:pStyle w:val="Heading3"/>
        <w:spacing w:before="160" w:line="384" w:lineRule="auto"/>
        <w:ind w:right="300"/>
        <w:contextualSpacing w:val="0"/>
        <w:rPr>
          <w:lang w:val="en-US"/>
        </w:rPr>
      </w:pPr>
      <w:bookmarkStart w:id="12" w:name="_go2f40i34sgs" w:colFirst="0" w:colLast="0"/>
      <w:bookmarkEnd w:id="12"/>
      <w:r w:rsidRPr="00A00FE0">
        <w:rPr>
          <w:b/>
          <w:lang w:val="en-US"/>
        </w:rPr>
        <w:lastRenderedPageBreak/>
        <w:t xml:space="preserve">Defining the reference models </w:t>
      </w:r>
      <w:r w:rsidRPr="00A00FE0">
        <w:rPr>
          <w:lang w:val="en-US"/>
        </w:rPr>
        <w:t>(months 3-8)</w:t>
      </w:r>
    </w:p>
    <w:p w:rsidR="000D0ADF" w:rsidRPr="00A00FE0" w:rsidRDefault="00F53373">
      <w:pPr>
        <w:spacing w:before="160" w:line="312" w:lineRule="auto"/>
        <w:ind w:right="300"/>
        <w:rPr>
          <w:lang w:val="en-US"/>
        </w:rPr>
      </w:pPr>
      <w:r w:rsidRPr="00A00FE0">
        <w:rPr>
          <w:sz w:val="21"/>
          <w:szCs w:val="21"/>
          <w:highlight w:val="white"/>
          <w:lang w:val="en-US"/>
        </w:rPr>
        <w:t>We will develop technical reference models for data exchange based on the inventory above and including possibly Data Structure Defini</w:t>
      </w:r>
      <w:r w:rsidRPr="00A00FE0">
        <w:rPr>
          <w:sz w:val="21"/>
          <w:szCs w:val="21"/>
          <w:highlight w:val="white"/>
          <w:lang w:val="en-US"/>
        </w:rPr>
        <w:t xml:space="preserve">tions for statistical data, and as UML for OGC and ISO standards. </w:t>
      </w:r>
    </w:p>
    <w:p w:rsidR="000D0ADF" w:rsidRPr="00A00FE0" w:rsidRDefault="00F53373">
      <w:pPr>
        <w:spacing w:before="160" w:line="312" w:lineRule="auto"/>
        <w:ind w:right="300"/>
        <w:rPr>
          <w:lang w:val="en-US"/>
        </w:rPr>
      </w:pPr>
      <w:r w:rsidRPr="00A00FE0">
        <w:rPr>
          <w:sz w:val="21"/>
          <w:szCs w:val="21"/>
          <w:highlight w:val="white"/>
          <w:lang w:val="en-US"/>
        </w:rPr>
        <w:t>Each model should be open, extensible and, if possible, implementation agnostic. They define how fisheries data can be structured in order to facilitate the sharing of data- and subsets, an</w:t>
      </w:r>
      <w:r w:rsidRPr="00A00FE0">
        <w:rPr>
          <w:sz w:val="21"/>
          <w:szCs w:val="21"/>
          <w:highlight w:val="white"/>
          <w:lang w:val="en-US"/>
        </w:rPr>
        <w:t>d how those structured data can be used in interoperable exchanges.</w:t>
      </w:r>
    </w:p>
    <w:p w:rsidR="000D0ADF" w:rsidRPr="00A00FE0" w:rsidRDefault="00F53373">
      <w:pPr>
        <w:spacing w:before="160" w:line="312" w:lineRule="auto"/>
        <w:ind w:right="300"/>
        <w:rPr>
          <w:lang w:val="en-US"/>
        </w:rPr>
      </w:pPr>
      <w:r w:rsidRPr="00A00FE0">
        <w:rPr>
          <w:sz w:val="21"/>
          <w:szCs w:val="21"/>
          <w:highlight w:val="white"/>
          <w:lang w:val="en-US"/>
        </w:rPr>
        <w:t xml:space="preserve">A selected set of DSD’s and UML diagrams or other formalization of fisheries data for exchange, based on the report of the previous phase, will be this activity’s deliverable. </w:t>
      </w:r>
    </w:p>
    <w:p w:rsidR="000D0ADF" w:rsidRPr="00A00FE0" w:rsidRDefault="00F53373">
      <w:pPr>
        <w:spacing w:before="160" w:line="312" w:lineRule="auto"/>
        <w:ind w:right="300"/>
        <w:rPr>
          <w:lang w:val="en-US"/>
        </w:rPr>
      </w:pPr>
      <w:r w:rsidRPr="00A00FE0">
        <w:rPr>
          <w:sz w:val="21"/>
          <w:szCs w:val="21"/>
          <w:highlight w:val="white"/>
          <w:lang w:val="en-US"/>
        </w:rPr>
        <w:t>A reference</w:t>
      </w:r>
      <w:r w:rsidRPr="00A00FE0">
        <w:rPr>
          <w:sz w:val="21"/>
          <w:szCs w:val="21"/>
          <w:highlight w:val="white"/>
          <w:lang w:val="en-US"/>
        </w:rPr>
        <w:t xml:space="preserve"> model should address the interoperability issues related to formats, ownership, copyright, data re-use and data quality. </w:t>
      </w:r>
    </w:p>
    <w:p w:rsidR="000D0ADF" w:rsidRPr="00A00FE0" w:rsidRDefault="00F53373">
      <w:pPr>
        <w:pStyle w:val="Heading3"/>
        <w:spacing w:before="160" w:line="384" w:lineRule="auto"/>
        <w:ind w:right="300"/>
        <w:contextualSpacing w:val="0"/>
        <w:rPr>
          <w:lang w:val="en-US"/>
        </w:rPr>
      </w:pPr>
      <w:bookmarkStart w:id="13" w:name="_2izn46xlnwi3" w:colFirst="0" w:colLast="0"/>
      <w:bookmarkEnd w:id="13"/>
      <w:r w:rsidRPr="00A00FE0">
        <w:rPr>
          <w:b/>
          <w:lang w:val="en-US"/>
        </w:rPr>
        <w:t xml:space="preserve">Improve and test the models iteratively </w:t>
      </w:r>
      <w:r w:rsidRPr="00A00FE0">
        <w:rPr>
          <w:lang w:val="en-US"/>
        </w:rPr>
        <w:t>(months 7-12)</w:t>
      </w:r>
    </w:p>
    <w:p w:rsidR="000D0ADF" w:rsidRPr="00A00FE0" w:rsidRDefault="00F53373">
      <w:pPr>
        <w:spacing w:before="160" w:line="312" w:lineRule="auto"/>
        <w:ind w:right="300"/>
        <w:rPr>
          <w:lang w:val="en-US"/>
        </w:rPr>
      </w:pPr>
      <w:r w:rsidRPr="00A00FE0">
        <w:rPr>
          <w:sz w:val="21"/>
          <w:szCs w:val="21"/>
          <w:highlight w:val="white"/>
          <w:lang w:val="en-US"/>
        </w:rPr>
        <w:t xml:space="preserve">The </w:t>
      </w:r>
      <w:proofErr w:type="gramStart"/>
      <w:r w:rsidRPr="00A00FE0">
        <w:rPr>
          <w:sz w:val="21"/>
          <w:szCs w:val="21"/>
          <w:highlight w:val="white"/>
          <w:lang w:val="en-US"/>
        </w:rPr>
        <w:t>models(</w:t>
      </w:r>
      <w:proofErr w:type="gramEnd"/>
      <w:r w:rsidRPr="00A00FE0">
        <w:rPr>
          <w:sz w:val="21"/>
          <w:szCs w:val="21"/>
          <w:highlight w:val="white"/>
          <w:lang w:val="en-US"/>
        </w:rPr>
        <w:t>structure definitions and UML) developed in the previous step will b</w:t>
      </w:r>
      <w:r w:rsidRPr="00A00FE0">
        <w:rPr>
          <w:sz w:val="21"/>
          <w:szCs w:val="21"/>
          <w:highlight w:val="white"/>
          <w:lang w:val="en-US"/>
        </w:rPr>
        <w:t xml:space="preserve">e evaluated against suitable data sets of considerable size from various research organizations. The consortium partners will be asked to provide their real world research sets as a </w:t>
      </w:r>
      <w:proofErr w:type="spellStart"/>
      <w:r w:rsidRPr="00A00FE0">
        <w:rPr>
          <w:sz w:val="21"/>
          <w:szCs w:val="21"/>
          <w:highlight w:val="white"/>
          <w:lang w:val="en-US"/>
        </w:rPr>
        <w:t>testbed</w:t>
      </w:r>
      <w:proofErr w:type="spellEnd"/>
      <w:r w:rsidRPr="00A00FE0">
        <w:rPr>
          <w:sz w:val="21"/>
          <w:szCs w:val="21"/>
          <w:highlight w:val="white"/>
          <w:lang w:val="en-US"/>
        </w:rPr>
        <w:t xml:space="preserve"> to evaluate each model. This will follow an iterative approach in </w:t>
      </w:r>
      <w:r w:rsidRPr="00A00FE0">
        <w:rPr>
          <w:sz w:val="21"/>
          <w:szCs w:val="21"/>
          <w:highlight w:val="white"/>
          <w:lang w:val="en-US"/>
        </w:rPr>
        <w:t>order to allow improvements.</w:t>
      </w:r>
    </w:p>
    <w:p w:rsidR="000D0ADF" w:rsidRPr="00A00FE0" w:rsidRDefault="00F53373">
      <w:pPr>
        <w:spacing w:before="160" w:line="312" w:lineRule="auto"/>
        <w:ind w:right="300"/>
        <w:rPr>
          <w:lang w:val="en-US"/>
        </w:rPr>
      </w:pPr>
      <w:r w:rsidRPr="00A00FE0">
        <w:rPr>
          <w:sz w:val="21"/>
          <w:szCs w:val="21"/>
          <w:highlight w:val="white"/>
          <w:lang w:val="en-US"/>
        </w:rPr>
        <w:t xml:space="preserve">After the models have been validated, </w:t>
      </w:r>
      <w:proofErr w:type="gramStart"/>
      <w:r w:rsidRPr="00A00FE0">
        <w:rPr>
          <w:sz w:val="21"/>
          <w:szCs w:val="21"/>
          <w:highlight w:val="white"/>
          <w:lang w:val="en-US"/>
        </w:rPr>
        <w:t>a reference</w:t>
      </w:r>
      <w:proofErr w:type="gramEnd"/>
      <w:r w:rsidRPr="00A00FE0">
        <w:rPr>
          <w:sz w:val="21"/>
          <w:szCs w:val="21"/>
          <w:highlight w:val="white"/>
          <w:lang w:val="en-US"/>
        </w:rPr>
        <w:t xml:space="preserve"> architecture for fisheries data will be implemented. </w:t>
      </w:r>
      <w:r w:rsidRPr="00A00FE0">
        <w:rPr>
          <w:sz w:val="21"/>
          <w:szCs w:val="21"/>
          <w:highlight w:val="white"/>
          <w:lang w:val="en-US"/>
        </w:rPr>
        <w:t>This reference implementation should be based on open source software in order to be usable and improvable by all participating partners. Several implementations of data architectures already exist, and these could be repurposed to also accept the fisherie</w:t>
      </w:r>
      <w:r w:rsidRPr="00A00FE0">
        <w:rPr>
          <w:sz w:val="21"/>
          <w:szCs w:val="21"/>
          <w:highlight w:val="white"/>
          <w:lang w:val="en-US"/>
        </w:rPr>
        <w:t xml:space="preserve">s data models. </w:t>
      </w:r>
    </w:p>
    <w:p w:rsidR="000D0ADF" w:rsidRDefault="00F53373">
      <w:pPr>
        <w:numPr>
          <w:ilvl w:val="0"/>
          <w:numId w:val="5"/>
        </w:numPr>
        <w:spacing w:before="160" w:line="384" w:lineRule="auto"/>
        <w:ind w:right="300" w:hanging="360"/>
        <w:contextualSpacing/>
        <w:rPr>
          <w:sz w:val="21"/>
          <w:szCs w:val="21"/>
          <w:highlight w:val="white"/>
        </w:rPr>
      </w:pPr>
      <w:r>
        <w:rPr>
          <w:sz w:val="21"/>
          <w:szCs w:val="21"/>
          <w:highlight w:val="white"/>
        </w:rPr>
        <w:t>For statistical data;</w:t>
      </w:r>
    </w:p>
    <w:p w:rsidR="000D0ADF" w:rsidRDefault="00F53373">
      <w:pPr>
        <w:numPr>
          <w:ilvl w:val="0"/>
          <w:numId w:val="5"/>
        </w:numPr>
        <w:spacing w:before="160" w:line="384" w:lineRule="auto"/>
        <w:ind w:right="300" w:hanging="360"/>
        <w:contextualSpacing/>
        <w:rPr>
          <w:sz w:val="21"/>
          <w:szCs w:val="21"/>
          <w:highlight w:val="white"/>
        </w:rPr>
      </w:pPr>
      <w:r>
        <w:rPr>
          <w:sz w:val="21"/>
          <w:szCs w:val="21"/>
          <w:highlight w:val="white"/>
        </w:rPr>
        <w:t>For geospatial explicit data;</w:t>
      </w:r>
    </w:p>
    <w:p w:rsidR="000D0ADF" w:rsidRPr="00A00FE0" w:rsidRDefault="00F53373">
      <w:pPr>
        <w:spacing w:before="160" w:line="312" w:lineRule="auto"/>
        <w:ind w:right="300"/>
        <w:rPr>
          <w:lang w:val="en-US"/>
        </w:rPr>
      </w:pPr>
      <w:r w:rsidRPr="00A00FE0">
        <w:rPr>
          <w:sz w:val="21"/>
          <w:szCs w:val="21"/>
          <w:highlight w:val="white"/>
          <w:lang w:val="en-US"/>
        </w:rPr>
        <w:t>The implementation has to be generic and flexible enough for being adapted to various purposes. An official release will follow the implementation and iterative improvement phase and demon</w:t>
      </w:r>
      <w:r w:rsidRPr="00A00FE0">
        <w:rPr>
          <w:sz w:val="21"/>
          <w:szCs w:val="21"/>
          <w:highlight w:val="white"/>
          <w:lang w:val="en-US"/>
        </w:rPr>
        <w:t>strate interoperability between two systems (a producer and a consumer) with a live example of fisheries data.</w:t>
      </w:r>
    </w:p>
    <w:p w:rsidR="000D0ADF" w:rsidRPr="00A00FE0" w:rsidRDefault="00F53373">
      <w:pPr>
        <w:spacing w:before="160" w:line="312" w:lineRule="auto"/>
        <w:ind w:right="300"/>
        <w:rPr>
          <w:lang w:val="en-US"/>
        </w:rPr>
      </w:pPr>
      <w:r w:rsidRPr="00A00FE0">
        <w:rPr>
          <w:sz w:val="21"/>
          <w:szCs w:val="21"/>
          <w:highlight w:val="white"/>
          <w:lang w:val="en-US"/>
        </w:rPr>
        <w:t>The evaluation report of the existing reference architectures for suitability to manage fisheries data will be the deliverable of this phase.</w:t>
      </w:r>
    </w:p>
    <w:p w:rsidR="000D0ADF" w:rsidRPr="00A00FE0" w:rsidRDefault="00F53373">
      <w:pPr>
        <w:pStyle w:val="Heading3"/>
        <w:spacing w:before="160" w:line="384" w:lineRule="auto"/>
        <w:ind w:right="300"/>
        <w:contextualSpacing w:val="0"/>
        <w:rPr>
          <w:lang w:val="en-US"/>
        </w:rPr>
      </w:pPr>
      <w:bookmarkStart w:id="14" w:name="_9bk0coasa00t" w:colFirst="0" w:colLast="0"/>
      <w:bookmarkEnd w:id="14"/>
      <w:r w:rsidRPr="00A00FE0">
        <w:rPr>
          <w:b/>
          <w:lang w:val="en-US"/>
        </w:rPr>
        <w:t>Pro</w:t>
      </w:r>
      <w:r w:rsidRPr="00A00FE0">
        <w:rPr>
          <w:b/>
          <w:lang w:val="en-US"/>
        </w:rPr>
        <w:t>motion of the RDA FDI Model and Reference Adoption</w:t>
      </w:r>
    </w:p>
    <w:p w:rsidR="000D0ADF" w:rsidRPr="00A00FE0" w:rsidRDefault="00F53373">
      <w:pPr>
        <w:pStyle w:val="Heading3"/>
        <w:spacing w:before="160" w:line="384" w:lineRule="auto"/>
        <w:ind w:right="300"/>
        <w:contextualSpacing w:val="0"/>
        <w:rPr>
          <w:lang w:val="en-US"/>
        </w:rPr>
      </w:pPr>
      <w:bookmarkStart w:id="15" w:name="_d12thy3ojkmy" w:colFirst="0" w:colLast="0"/>
      <w:bookmarkEnd w:id="15"/>
      <w:r w:rsidRPr="00A00FE0">
        <w:rPr>
          <w:lang w:val="en-US"/>
        </w:rPr>
        <w:t>(</w:t>
      </w:r>
      <w:proofErr w:type="gramStart"/>
      <w:r w:rsidRPr="00A00FE0">
        <w:rPr>
          <w:lang w:val="en-US"/>
        </w:rPr>
        <w:t>months</w:t>
      </w:r>
      <w:proofErr w:type="gramEnd"/>
      <w:r w:rsidRPr="00A00FE0">
        <w:rPr>
          <w:lang w:val="en-US"/>
        </w:rPr>
        <w:t xml:space="preserve"> 8-18)</w:t>
      </w:r>
    </w:p>
    <w:p w:rsidR="000D0ADF" w:rsidRPr="00A00FE0" w:rsidRDefault="00F53373">
      <w:pPr>
        <w:spacing w:before="160" w:line="312" w:lineRule="auto"/>
        <w:ind w:right="300"/>
        <w:rPr>
          <w:lang w:val="en-US"/>
        </w:rPr>
      </w:pPr>
      <w:r w:rsidRPr="00A00FE0">
        <w:rPr>
          <w:sz w:val="21"/>
          <w:szCs w:val="21"/>
          <w:highlight w:val="white"/>
          <w:lang w:val="en-US"/>
        </w:rPr>
        <w:t>Promotion activities will include internal and external dissemination about the data structures and architecture. The reference implementation will be accompanied by substantial documentation</w:t>
      </w:r>
      <w:r w:rsidRPr="00A00FE0">
        <w:rPr>
          <w:sz w:val="21"/>
          <w:szCs w:val="21"/>
          <w:highlight w:val="white"/>
          <w:lang w:val="en-US"/>
        </w:rPr>
        <w:t xml:space="preserve"> and use case scenarios in order to increase adoption and encourage contributions.</w:t>
      </w:r>
    </w:p>
    <w:p w:rsidR="000D0ADF" w:rsidRPr="00A00FE0" w:rsidRDefault="00F53373">
      <w:pPr>
        <w:pStyle w:val="Heading2"/>
        <w:spacing w:before="160" w:line="384" w:lineRule="auto"/>
        <w:ind w:right="300"/>
        <w:contextualSpacing w:val="0"/>
        <w:rPr>
          <w:lang w:val="en-US"/>
        </w:rPr>
      </w:pPr>
      <w:bookmarkStart w:id="16" w:name="_ymfyn9irg9jt" w:colFirst="0" w:colLast="0"/>
      <w:bookmarkEnd w:id="16"/>
      <w:r w:rsidRPr="00A00FE0">
        <w:rPr>
          <w:lang w:val="en-US"/>
        </w:rPr>
        <w:lastRenderedPageBreak/>
        <w:t>WGFDI operation</w:t>
      </w:r>
    </w:p>
    <w:p w:rsidR="000D0ADF" w:rsidRPr="00A00FE0" w:rsidRDefault="00F53373">
      <w:pPr>
        <w:pStyle w:val="Heading3"/>
        <w:spacing w:before="160" w:line="384" w:lineRule="auto"/>
        <w:ind w:right="300"/>
        <w:contextualSpacing w:val="0"/>
        <w:rPr>
          <w:lang w:val="en-US"/>
        </w:rPr>
      </w:pPr>
      <w:bookmarkStart w:id="17" w:name="_x26extpccdsl" w:colFirst="0" w:colLast="0"/>
      <w:bookmarkEnd w:id="17"/>
      <w:r w:rsidRPr="00A00FE0">
        <w:rPr>
          <w:lang w:val="en-US"/>
        </w:rPr>
        <w:t>Form and description of final deliverables</w:t>
      </w:r>
    </w:p>
    <w:p w:rsidR="000D0ADF" w:rsidRPr="00A00FE0" w:rsidRDefault="00F53373">
      <w:pPr>
        <w:spacing w:before="160" w:line="384" w:lineRule="auto"/>
        <w:ind w:right="300"/>
        <w:rPr>
          <w:lang w:val="en-US"/>
        </w:rPr>
      </w:pPr>
      <w:r w:rsidRPr="00A00FE0">
        <w:rPr>
          <w:sz w:val="21"/>
          <w:szCs w:val="21"/>
          <w:highlight w:val="white"/>
          <w:lang w:val="en-US"/>
        </w:rPr>
        <w:t xml:space="preserve">The deliverables are listed above as activity phase outcomes. </w:t>
      </w:r>
    </w:p>
    <w:p w:rsidR="000D0ADF" w:rsidRPr="00A00FE0" w:rsidRDefault="00F53373">
      <w:pPr>
        <w:pStyle w:val="Heading3"/>
        <w:spacing w:before="160" w:line="384" w:lineRule="auto"/>
        <w:ind w:right="300"/>
        <w:contextualSpacing w:val="0"/>
        <w:rPr>
          <w:lang w:val="en-US"/>
        </w:rPr>
      </w:pPr>
      <w:bookmarkStart w:id="18" w:name="_5a1j7xpwmzio" w:colFirst="0" w:colLast="0"/>
      <w:bookmarkEnd w:id="18"/>
      <w:r w:rsidRPr="00A00FE0">
        <w:rPr>
          <w:lang w:val="en-US"/>
        </w:rPr>
        <w:t>Milestones</w:t>
      </w:r>
    </w:p>
    <w:p w:rsidR="000D0ADF" w:rsidRPr="00A00FE0" w:rsidRDefault="00F53373">
      <w:pPr>
        <w:spacing w:before="160" w:line="312" w:lineRule="auto"/>
        <w:ind w:right="300"/>
        <w:rPr>
          <w:lang w:val="en-US"/>
        </w:rPr>
      </w:pPr>
      <w:r w:rsidRPr="00A00FE0">
        <w:rPr>
          <w:sz w:val="21"/>
          <w:szCs w:val="21"/>
          <w:highlight w:val="white"/>
          <w:lang w:val="en-US"/>
        </w:rPr>
        <w:t xml:space="preserve">No particular milestones are specified. </w:t>
      </w:r>
      <w:r w:rsidRPr="00A00FE0">
        <w:rPr>
          <w:sz w:val="21"/>
          <w:szCs w:val="21"/>
          <w:highlight w:val="white"/>
          <w:lang w:val="en-US"/>
        </w:rPr>
        <w:t>If needed, the Deliverables of the previous section can be used as milestones.</w:t>
      </w:r>
    </w:p>
    <w:p w:rsidR="000D0ADF" w:rsidRPr="00A00FE0" w:rsidRDefault="00F53373">
      <w:pPr>
        <w:pStyle w:val="Heading3"/>
        <w:spacing w:before="160" w:line="384" w:lineRule="auto"/>
        <w:ind w:right="300"/>
        <w:contextualSpacing w:val="0"/>
        <w:rPr>
          <w:lang w:val="en-US"/>
        </w:rPr>
      </w:pPr>
      <w:bookmarkStart w:id="19" w:name="_76mu3awpo3ki" w:colFirst="0" w:colLast="0"/>
      <w:bookmarkEnd w:id="19"/>
      <w:r w:rsidRPr="00A00FE0">
        <w:rPr>
          <w:lang w:val="en-US"/>
        </w:rPr>
        <w:t>Communication and outreach</w:t>
      </w:r>
    </w:p>
    <w:p w:rsidR="000D0ADF" w:rsidRPr="00A00FE0" w:rsidRDefault="00F53373">
      <w:pPr>
        <w:spacing w:before="160" w:line="312" w:lineRule="auto"/>
        <w:ind w:right="300"/>
        <w:rPr>
          <w:lang w:val="en-US"/>
        </w:rPr>
      </w:pPr>
      <w:r w:rsidRPr="00A00FE0">
        <w:rPr>
          <w:sz w:val="21"/>
          <w:szCs w:val="21"/>
          <w:highlight w:val="white"/>
          <w:lang w:val="en-US"/>
        </w:rPr>
        <w:t xml:space="preserve">The entire process will be supported by dissemination activities and community outreach. </w:t>
      </w:r>
      <w:r w:rsidRPr="00A00FE0">
        <w:rPr>
          <w:sz w:val="21"/>
          <w:szCs w:val="21"/>
          <w:lang w:val="en-US"/>
        </w:rPr>
        <w:t>The dissemination will rely on RDA tools, and include a wiki,</w:t>
      </w:r>
      <w:r w:rsidRPr="00A00FE0">
        <w:rPr>
          <w:sz w:val="21"/>
          <w:szCs w:val="21"/>
          <w:lang w:val="en-US"/>
        </w:rPr>
        <w:t xml:space="preserve"> </w:t>
      </w:r>
      <w:r w:rsidRPr="00A00FE0">
        <w:rPr>
          <w:sz w:val="21"/>
          <w:szCs w:val="21"/>
          <w:highlight w:val="white"/>
          <w:lang w:val="en-US"/>
        </w:rPr>
        <w:t>documents, and possibly a demonstration site in an EU infrastructure. No developer forum or mailing lists are foreseen.</w:t>
      </w:r>
    </w:p>
    <w:p w:rsidR="000D0ADF" w:rsidRPr="00A00FE0" w:rsidRDefault="00F53373">
      <w:pPr>
        <w:spacing w:before="160" w:line="312" w:lineRule="auto"/>
        <w:ind w:right="300"/>
        <w:rPr>
          <w:lang w:val="en-US"/>
        </w:rPr>
      </w:pPr>
      <w:r w:rsidRPr="00A00FE0">
        <w:rPr>
          <w:sz w:val="21"/>
          <w:szCs w:val="21"/>
          <w:highlight w:val="white"/>
          <w:lang w:val="en-US"/>
        </w:rPr>
        <w:t>The outreach will focus on the initiation phase and conclusion phase; the announcement of the activity and pans, the installation of th</w:t>
      </w:r>
      <w:r w:rsidRPr="00A00FE0">
        <w:rPr>
          <w:sz w:val="21"/>
          <w:szCs w:val="21"/>
          <w:highlight w:val="white"/>
          <w:lang w:val="en-US"/>
        </w:rPr>
        <w:t xml:space="preserve">e core team and the resource team, the development of the concrete objectives, and when a result has been obtained, a presentation of progress, and plans for a further development and roll-out phase through the participating </w:t>
      </w:r>
      <w:proofErr w:type="gramStart"/>
      <w:r w:rsidRPr="00A00FE0">
        <w:rPr>
          <w:sz w:val="21"/>
          <w:szCs w:val="21"/>
          <w:highlight w:val="white"/>
          <w:lang w:val="en-US"/>
        </w:rPr>
        <w:t>members</w:t>
      </w:r>
      <w:proofErr w:type="gramEnd"/>
      <w:r w:rsidRPr="00A00FE0">
        <w:rPr>
          <w:sz w:val="21"/>
          <w:szCs w:val="21"/>
          <w:highlight w:val="white"/>
          <w:lang w:val="en-US"/>
        </w:rPr>
        <w:t xml:space="preserve"> channels. </w:t>
      </w:r>
    </w:p>
    <w:p w:rsidR="000D0ADF" w:rsidRPr="00A00FE0" w:rsidRDefault="000D0ADF">
      <w:pPr>
        <w:spacing w:before="160" w:line="384" w:lineRule="auto"/>
        <w:ind w:right="300"/>
        <w:rPr>
          <w:lang w:val="en-US"/>
        </w:rPr>
      </w:pPr>
    </w:p>
    <w:p w:rsidR="000D0ADF" w:rsidRPr="00A00FE0" w:rsidRDefault="000D0ADF">
      <w:pPr>
        <w:pStyle w:val="Heading1"/>
        <w:spacing w:before="160" w:after="160" w:line="384" w:lineRule="auto"/>
        <w:contextualSpacing w:val="0"/>
        <w:rPr>
          <w:lang w:val="en-US"/>
        </w:rPr>
      </w:pPr>
      <w:bookmarkStart w:id="20" w:name="_z3lgwuqfyrip" w:colFirst="0" w:colLast="0"/>
      <w:bookmarkEnd w:id="20"/>
    </w:p>
    <w:p w:rsidR="000D0ADF" w:rsidRPr="00A00FE0" w:rsidRDefault="00F53373">
      <w:pPr>
        <w:rPr>
          <w:lang w:val="en-US"/>
        </w:rPr>
      </w:pPr>
      <w:r w:rsidRPr="00A00FE0">
        <w:rPr>
          <w:lang w:val="en-US"/>
        </w:rPr>
        <w:br w:type="page"/>
      </w:r>
    </w:p>
    <w:p w:rsidR="000D0ADF" w:rsidRPr="00A00FE0" w:rsidRDefault="000D0ADF">
      <w:pPr>
        <w:pStyle w:val="Heading1"/>
        <w:spacing w:before="160" w:after="160" w:line="384" w:lineRule="auto"/>
        <w:contextualSpacing w:val="0"/>
        <w:rPr>
          <w:lang w:val="en-US"/>
        </w:rPr>
      </w:pPr>
      <w:bookmarkStart w:id="21" w:name="_rrd5u748bnym" w:colFirst="0" w:colLast="0"/>
      <w:bookmarkEnd w:id="21"/>
    </w:p>
    <w:p w:rsidR="000D0ADF" w:rsidRPr="00A00FE0" w:rsidRDefault="00F53373">
      <w:pPr>
        <w:pStyle w:val="Heading1"/>
        <w:spacing w:before="160" w:after="160" w:line="384" w:lineRule="auto"/>
        <w:contextualSpacing w:val="0"/>
        <w:rPr>
          <w:lang w:val="en-US"/>
        </w:rPr>
      </w:pPr>
      <w:bookmarkStart w:id="22" w:name="_s42yi7wbx4kk" w:colFirst="0" w:colLast="0"/>
      <w:bookmarkEnd w:id="22"/>
      <w:r w:rsidRPr="00A00FE0">
        <w:rPr>
          <w:lang w:val="en-US"/>
        </w:rPr>
        <w:t>Initial Membership of the FDIWG</w:t>
      </w:r>
    </w:p>
    <w:p w:rsidR="000D0ADF" w:rsidRPr="00A00FE0" w:rsidRDefault="00F53373">
      <w:pPr>
        <w:spacing w:before="160" w:after="160" w:line="312" w:lineRule="auto"/>
        <w:rPr>
          <w:lang w:val="en-US"/>
        </w:rPr>
      </w:pPr>
      <w:r w:rsidRPr="00A00FE0">
        <w:rPr>
          <w:sz w:val="21"/>
          <w:szCs w:val="21"/>
          <w:highlight w:val="white"/>
          <w:lang w:val="en-US"/>
        </w:rPr>
        <w:t>The WG organization is specified in the Case Statement. It will be structured with 3 Co-chairs. The first Co-chair will retain overall responsibility on progress and deliverables, and communication with RDA, while the Co-cha</w:t>
      </w:r>
      <w:r w:rsidRPr="00A00FE0">
        <w:rPr>
          <w:sz w:val="21"/>
          <w:szCs w:val="21"/>
          <w:highlight w:val="white"/>
          <w:lang w:val="en-US"/>
        </w:rPr>
        <w:t>irs will be responsible for content development and more broadly with technical issues and future collaboration.</w:t>
      </w:r>
    </w:p>
    <w:p w:rsidR="000D0ADF" w:rsidRDefault="00F53373">
      <w:pPr>
        <w:spacing w:before="160" w:line="312" w:lineRule="auto"/>
      </w:pPr>
      <w:r>
        <w:rPr>
          <w:highlight w:val="white"/>
        </w:rPr>
        <w:t>Leadership</w:t>
      </w:r>
    </w:p>
    <w:p w:rsidR="000D0ADF" w:rsidRPr="00A00FE0" w:rsidRDefault="00F53373">
      <w:pPr>
        <w:numPr>
          <w:ilvl w:val="0"/>
          <w:numId w:val="7"/>
        </w:numPr>
        <w:spacing w:before="160" w:after="20" w:line="312" w:lineRule="auto"/>
        <w:ind w:hanging="360"/>
        <w:contextualSpacing/>
        <w:rPr>
          <w:sz w:val="20"/>
          <w:szCs w:val="20"/>
          <w:highlight w:val="white"/>
          <w:lang w:val="en-US"/>
        </w:rPr>
      </w:pPr>
      <w:r w:rsidRPr="00A00FE0">
        <w:rPr>
          <w:sz w:val="20"/>
          <w:szCs w:val="20"/>
          <w:highlight w:val="white"/>
          <w:lang w:val="en-US"/>
        </w:rPr>
        <w:t xml:space="preserve">Co-chair: Anton </w:t>
      </w:r>
      <w:proofErr w:type="spellStart"/>
      <w:r w:rsidRPr="00A00FE0">
        <w:rPr>
          <w:sz w:val="20"/>
          <w:szCs w:val="20"/>
          <w:highlight w:val="white"/>
          <w:lang w:val="en-US"/>
        </w:rPr>
        <w:t>Ellenbroek</w:t>
      </w:r>
      <w:proofErr w:type="spellEnd"/>
      <w:r w:rsidRPr="00A00FE0">
        <w:rPr>
          <w:sz w:val="20"/>
          <w:szCs w:val="20"/>
          <w:highlight w:val="white"/>
          <w:lang w:val="en-US"/>
        </w:rPr>
        <w:t xml:space="preserve"> (FAO) - Fisheries data structures</w:t>
      </w:r>
    </w:p>
    <w:p w:rsidR="000D0ADF" w:rsidRPr="00A00FE0" w:rsidRDefault="00F53373">
      <w:pPr>
        <w:numPr>
          <w:ilvl w:val="0"/>
          <w:numId w:val="7"/>
        </w:numPr>
        <w:spacing w:before="160" w:after="20" w:line="312" w:lineRule="auto"/>
        <w:ind w:hanging="360"/>
        <w:contextualSpacing/>
        <w:rPr>
          <w:sz w:val="20"/>
          <w:szCs w:val="20"/>
          <w:highlight w:val="white"/>
          <w:lang w:val="en-US"/>
        </w:rPr>
      </w:pPr>
      <w:r w:rsidRPr="00A00FE0">
        <w:rPr>
          <w:sz w:val="20"/>
          <w:szCs w:val="20"/>
          <w:highlight w:val="white"/>
          <w:lang w:val="en-US"/>
        </w:rPr>
        <w:t xml:space="preserve">Co-chair: </w:t>
      </w:r>
      <w:proofErr w:type="spellStart"/>
      <w:r w:rsidRPr="00A00FE0">
        <w:rPr>
          <w:sz w:val="20"/>
          <w:szCs w:val="20"/>
          <w:highlight w:val="white"/>
          <w:lang w:val="en-US"/>
        </w:rPr>
        <w:t>Julien</w:t>
      </w:r>
      <w:proofErr w:type="spellEnd"/>
      <w:r w:rsidRPr="00A00FE0">
        <w:rPr>
          <w:sz w:val="20"/>
          <w:szCs w:val="20"/>
          <w:highlight w:val="white"/>
          <w:lang w:val="en-US"/>
        </w:rPr>
        <w:t xml:space="preserve"> </w:t>
      </w:r>
      <w:proofErr w:type="spellStart"/>
      <w:r w:rsidRPr="00A00FE0">
        <w:rPr>
          <w:sz w:val="20"/>
          <w:szCs w:val="20"/>
          <w:highlight w:val="white"/>
          <w:lang w:val="en-US"/>
        </w:rPr>
        <w:t>Barde</w:t>
      </w:r>
      <w:proofErr w:type="spellEnd"/>
      <w:r w:rsidRPr="00A00FE0">
        <w:rPr>
          <w:sz w:val="20"/>
          <w:szCs w:val="20"/>
          <w:highlight w:val="white"/>
          <w:lang w:val="en-US"/>
        </w:rPr>
        <w:t xml:space="preserve">  (IRD) - Fisheries and geospatial data managemen</w:t>
      </w:r>
      <w:r w:rsidRPr="00A00FE0">
        <w:rPr>
          <w:sz w:val="20"/>
          <w:szCs w:val="20"/>
          <w:highlight w:val="white"/>
          <w:lang w:val="en-US"/>
        </w:rPr>
        <w:t>t</w:t>
      </w:r>
    </w:p>
    <w:p w:rsidR="000D0ADF" w:rsidRPr="00A00FE0" w:rsidRDefault="00F53373">
      <w:pPr>
        <w:numPr>
          <w:ilvl w:val="0"/>
          <w:numId w:val="7"/>
        </w:numPr>
        <w:spacing w:before="160" w:line="312" w:lineRule="auto"/>
        <w:ind w:hanging="360"/>
        <w:contextualSpacing/>
        <w:rPr>
          <w:sz w:val="20"/>
          <w:szCs w:val="20"/>
          <w:highlight w:val="white"/>
          <w:lang w:val="en-US"/>
        </w:rPr>
      </w:pPr>
      <w:r w:rsidRPr="00A00FE0">
        <w:rPr>
          <w:sz w:val="20"/>
          <w:szCs w:val="20"/>
          <w:highlight w:val="white"/>
          <w:lang w:val="en-US"/>
        </w:rPr>
        <w:t xml:space="preserve">Co-chair: </w:t>
      </w:r>
      <w:proofErr w:type="spellStart"/>
      <w:r w:rsidRPr="00A00FE0">
        <w:rPr>
          <w:sz w:val="20"/>
          <w:szCs w:val="20"/>
          <w:highlight w:val="white"/>
          <w:lang w:val="en-US"/>
        </w:rPr>
        <w:t>Aymen</w:t>
      </w:r>
      <w:proofErr w:type="spellEnd"/>
      <w:r w:rsidRPr="00A00FE0">
        <w:rPr>
          <w:sz w:val="20"/>
          <w:szCs w:val="20"/>
          <w:highlight w:val="white"/>
          <w:lang w:val="en-US"/>
        </w:rPr>
        <w:t xml:space="preserve"> </w:t>
      </w:r>
      <w:proofErr w:type="spellStart"/>
      <w:r w:rsidRPr="00A00FE0">
        <w:rPr>
          <w:sz w:val="20"/>
          <w:szCs w:val="20"/>
          <w:highlight w:val="white"/>
          <w:lang w:val="en-US"/>
        </w:rPr>
        <w:t>Charif</w:t>
      </w:r>
      <w:proofErr w:type="spellEnd"/>
      <w:r w:rsidRPr="00A00FE0">
        <w:rPr>
          <w:sz w:val="20"/>
          <w:szCs w:val="20"/>
          <w:highlight w:val="white"/>
          <w:lang w:val="en-US"/>
        </w:rPr>
        <w:t xml:space="preserve"> (FAO) - Statistical data management</w:t>
      </w:r>
    </w:p>
    <w:p w:rsidR="000D0ADF" w:rsidRPr="00A00FE0" w:rsidRDefault="00F53373">
      <w:pPr>
        <w:spacing w:before="160" w:line="312" w:lineRule="auto"/>
        <w:rPr>
          <w:lang w:val="en-US"/>
        </w:rPr>
      </w:pPr>
      <w:r w:rsidRPr="00A00FE0">
        <w:rPr>
          <w:highlight w:val="white"/>
          <w:lang w:val="en-US"/>
        </w:rPr>
        <w:t>Members/Interested (Not formally invited):</w:t>
      </w:r>
    </w:p>
    <w:p w:rsidR="000D0ADF" w:rsidRDefault="00F53373">
      <w:pPr>
        <w:numPr>
          <w:ilvl w:val="0"/>
          <w:numId w:val="8"/>
        </w:numPr>
        <w:spacing w:before="160" w:after="20" w:line="312" w:lineRule="auto"/>
        <w:ind w:hanging="360"/>
        <w:contextualSpacing/>
        <w:rPr>
          <w:sz w:val="20"/>
          <w:szCs w:val="20"/>
          <w:highlight w:val="white"/>
        </w:rPr>
      </w:pPr>
      <w:r>
        <w:rPr>
          <w:sz w:val="20"/>
          <w:szCs w:val="20"/>
          <w:highlight w:val="white"/>
        </w:rPr>
        <w:t>Marc Taconet - FAO Rome - Data Governance and Global fisheries data interoperability</w:t>
      </w:r>
    </w:p>
    <w:p w:rsidR="000D0ADF" w:rsidRDefault="00F53373">
      <w:pPr>
        <w:numPr>
          <w:ilvl w:val="0"/>
          <w:numId w:val="8"/>
        </w:numPr>
        <w:spacing w:before="160" w:after="20" w:line="312" w:lineRule="auto"/>
        <w:ind w:hanging="360"/>
        <w:contextualSpacing/>
        <w:rPr>
          <w:sz w:val="20"/>
          <w:szCs w:val="20"/>
          <w:highlight w:val="white"/>
        </w:rPr>
      </w:pPr>
      <w:r>
        <w:rPr>
          <w:sz w:val="20"/>
          <w:szCs w:val="20"/>
          <w:highlight w:val="white"/>
        </w:rPr>
        <w:t>Donatella Castelli - CNR-ISTI, Pisa - Networking and data interoper</w:t>
      </w:r>
      <w:r>
        <w:rPr>
          <w:sz w:val="20"/>
          <w:szCs w:val="20"/>
          <w:highlight w:val="white"/>
        </w:rPr>
        <w:t>ability</w:t>
      </w:r>
    </w:p>
    <w:p w:rsidR="000D0ADF" w:rsidRDefault="00F53373">
      <w:pPr>
        <w:numPr>
          <w:ilvl w:val="0"/>
          <w:numId w:val="8"/>
        </w:numPr>
        <w:spacing w:before="160" w:after="20" w:line="312" w:lineRule="auto"/>
        <w:ind w:hanging="360"/>
        <w:contextualSpacing/>
        <w:rPr>
          <w:sz w:val="20"/>
          <w:szCs w:val="20"/>
          <w:highlight w:val="white"/>
        </w:rPr>
      </w:pPr>
      <w:r>
        <w:rPr>
          <w:sz w:val="20"/>
          <w:szCs w:val="20"/>
          <w:highlight w:val="white"/>
        </w:rPr>
        <w:t>Pasquale Pagano - CNR-ISTI, Pisa - Data and infrastructure interoperability</w:t>
      </w:r>
    </w:p>
    <w:p w:rsidR="000D0ADF" w:rsidRPr="00A00FE0" w:rsidRDefault="00F53373">
      <w:pPr>
        <w:numPr>
          <w:ilvl w:val="0"/>
          <w:numId w:val="8"/>
        </w:numPr>
        <w:spacing w:before="160" w:after="20" w:line="312" w:lineRule="auto"/>
        <w:ind w:hanging="360"/>
        <w:contextualSpacing/>
        <w:rPr>
          <w:sz w:val="20"/>
          <w:szCs w:val="20"/>
          <w:highlight w:val="white"/>
          <w:lang w:val="en-US"/>
        </w:rPr>
      </w:pPr>
      <w:proofErr w:type="spellStart"/>
      <w:r w:rsidRPr="00A00FE0">
        <w:rPr>
          <w:sz w:val="20"/>
          <w:szCs w:val="20"/>
          <w:highlight w:val="white"/>
          <w:lang w:val="en-US"/>
        </w:rPr>
        <w:t>Yann</w:t>
      </w:r>
      <w:proofErr w:type="spellEnd"/>
      <w:r w:rsidRPr="00A00FE0">
        <w:rPr>
          <w:sz w:val="20"/>
          <w:szCs w:val="20"/>
          <w:highlight w:val="white"/>
          <w:lang w:val="en-US"/>
        </w:rPr>
        <w:t xml:space="preserve"> Laurent - FAO Consultant - Fisheries data exchange and interoperability expert</w:t>
      </w:r>
    </w:p>
    <w:p w:rsidR="000D0ADF" w:rsidRPr="00A00FE0" w:rsidRDefault="00F53373">
      <w:pPr>
        <w:numPr>
          <w:ilvl w:val="0"/>
          <w:numId w:val="8"/>
        </w:numPr>
        <w:spacing w:before="160" w:after="20" w:line="312" w:lineRule="auto"/>
        <w:ind w:hanging="360"/>
        <w:contextualSpacing/>
        <w:rPr>
          <w:sz w:val="20"/>
          <w:szCs w:val="20"/>
          <w:highlight w:val="white"/>
          <w:lang w:val="en-US"/>
        </w:rPr>
      </w:pPr>
      <w:r w:rsidRPr="00A00FE0">
        <w:rPr>
          <w:sz w:val="20"/>
          <w:szCs w:val="20"/>
          <w:highlight w:val="white"/>
          <w:lang w:val="en-US"/>
        </w:rPr>
        <w:t xml:space="preserve">Neil </w:t>
      </w:r>
      <w:proofErr w:type="spellStart"/>
      <w:r w:rsidRPr="00A00FE0">
        <w:rPr>
          <w:sz w:val="20"/>
          <w:szCs w:val="20"/>
          <w:highlight w:val="white"/>
          <w:lang w:val="en-US"/>
        </w:rPr>
        <w:t>Holdsworth</w:t>
      </w:r>
      <w:proofErr w:type="spellEnd"/>
      <w:r w:rsidRPr="00A00FE0">
        <w:rPr>
          <w:sz w:val="20"/>
          <w:szCs w:val="20"/>
          <w:highlight w:val="white"/>
          <w:lang w:val="en-US"/>
        </w:rPr>
        <w:t xml:space="preserve"> - ICES Denmark - fisheries data formats and tools</w:t>
      </w:r>
    </w:p>
    <w:p w:rsidR="000D0ADF" w:rsidRDefault="00F53373">
      <w:pPr>
        <w:numPr>
          <w:ilvl w:val="0"/>
          <w:numId w:val="8"/>
        </w:numPr>
        <w:spacing w:before="160" w:after="20" w:line="312" w:lineRule="auto"/>
        <w:ind w:hanging="360"/>
        <w:contextualSpacing/>
        <w:rPr>
          <w:sz w:val="20"/>
          <w:szCs w:val="20"/>
          <w:highlight w:val="white"/>
        </w:rPr>
      </w:pPr>
      <w:r>
        <w:rPr>
          <w:sz w:val="20"/>
          <w:szCs w:val="20"/>
          <w:highlight w:val="white"/>
        </w:rPr>
        <w:t xml:space="preserve">Daniel Surany - ESTAT </w:t>
      </w:r>
      <w:r>
        <w:rPr>
          <w:sz w:val="20"/>
          <w:szCs w:val="20"/>
          <w:highlight w:val="white"/>
        </w:rPr>
        <w:t>- SDMX Expertise</w:t>
      </w:r>
    </w:p>
    <w:p w:rsidR="000D0ADF" w:rsidRPr="00A00FE0" w:rsidRDefault="00F53373">
      <w:pPr>
        <w:numPr>
          <w:ilvl w:val="0"/>
          <w:numId w:val="8"/>
        </w:numPr>
        <w:spacing w:before="160" w:after="20" w:line="312" w:lineRule="auto"/>
        <w:ind w:hanging="360"/>
        <w:contextualSpacing/>
        <w:rPr>
          <w:sz w:val="20"/>
          <w:szCs w:val="20"/>
          <w:highlight w:val="white"/>
          <w:lang w:val="en-US"/>
        </w:rPr>
      </w:pPr>
      <w:r w:rsidRPr="00A00FE0">
        <w:rPr>
          <w:sz w:val="20"/>
          <w:szCs w:val="20"/>
          <w:highlight w:val="white"/>
          <w:lang w:val="en-US"/>
        </w:rPr>
        <w:t xml:space="preserve">Erik van </w:t>
      </w:r>
      <w:proofErr w:type="spellStart"/>
      <w:r w:rsidRPr="00A00FE0">
        <w:rPr>
          <w:sz w:val="20"/>
          <w:szCs w:val="20"/>
          <w:highlight w:val="white"/>
          <w:lang w:val="en-US"/>
        </w:rPr>
        <w:t>Ingen</w:t>
      </w:r>
      <w:proofErr w:type="spellEnd"/>
      <w:r w:rsidRPr="00A00FE0">
        <w:rPr>
          <w:sz w:val="20"/>
          <w:szCs w:val="20"/>
          <w:highlight w:val="white"/>
          <w:lang w:val="en-US"/>
        </w:rPr>
        <w:t xml:space="preserve"> - FAO CIO Rome - SDMX Expertise, mainstreaming fisheries data in FAO UN statistical data flows</w:t>
      </w:r>
    </w:p>
    <w:p w:rsidR="000D0ADF" w:rsidRPr="00A00FE0" w:rsidRDefault="00F53373">
      <w:pPr>
        <w:numPr>
          <w:ilvl w:val="0"/>
          <w:numId w:val="8"/>
        </w:numPr>
        <w:spacing w:before="160" w:after="20" w:line="312" w:lineRule="auto"/>
        <w:ind w:hanging="360"/>
        <w:contextualSpacing/>
        <w:rPr>
          <w:sz w:val="20"/>
          <w:szCs w:val="20"/>
          <w:highlight w:val="white"/>
          <w:lang w:val="en-US"/>
        </w:rPr>
      </w:pPr>
      <w:r w:rsidRPr="00A00FE0">
        <w:rPr>
          <w:sz w:val="20"/>
          <w:szCs w:val="20"/>
          <w:highlight w:val="white"/>
          <w:lang w:val="en-US"/>
        </w:rPr>
        <w:t xml:space="preserve">Fabio </w:t>
      </w:r>
      <w:proofErr w:type="spellStart"/>
      <w:r w:rsidRPr="00A00FE0">
        <w:rPr>
          <w:sz w:val="20"/>
          <w:szCs w:val="20"/>
          <w:highlight w:val="white"/>
          <w:lang w:val="en-US"/>
        </w:rPr>
        <w:t>Carocci</w:t>
      </w:r>
      <w:proofErr w:type="spellEnd"/>
      <w:r w:rsidRPr="00A00FE0">
        <w:rPr>
          <w:sz w:val="20"/>
          <w:szCs w:val="20"/>
          <w:highlight w:val="white"/>
          <w:lang w:val="en-US"/>
        </w:rPr>
        <w:t xml:space="preserve"> and Emmanuel </w:t>
      </w:r>
      <w:proofErr w:type="spellStart"/>
      <w:r w:rsidRPr="00A00FE0">
        <w:rPr>
          <w:sz w:val="20"/>
          <w:szCs w:val="20"/>
          <w:highlight w:val="white"/>
          <w:lang w:val="en-US"/>
        </w:rPr>
        <w:t>Blondel</w:t>
      </w:r>
      <w:proofErr w:type="spellEnd"/>
      <w:r w:rsidRPr="00A00FE0">
        <w:rPr>
          <w:sz w:val="20"/>
          <w:szCs w:val="20"/>
          <w:highlight w:val="white"/>
          <w:lang w:val="en-US"/>
        </w:rPr>
        <w:t>; FAO Fisheries - Geospatial data standards expertise;</w:t>
      </w:r>
    </w:p>
    <w:p w:rsidR="000D0ADF" w:rsidRDefault="00F53373">
      <w:pPr>
        <w:numPr>
          <w:ilvl w:val="0"/>
          <w:numId w:val="8"/>
        </w:numPr>
        <w:spacing w:before="160" w:after="20" w:line="312" w:lineRule="auto"/>
        <w:ind w:hanging="360"/>
        <w:contextualSpacing/>
        <w:rPr>
          <w:sz w:val="20"/>
          <w:szCs w:val="20"/>
          <w:highlight w:val="white"/>
        </w:rPr>
      </w:pPr>
      <w:r>
        <w:rPr>
          <w:sz w:val="20"/>
          <w:szCs w:val="20"/>
          <w:highlight w:val="white"/>
        </w:rPr>
        <w:t>FAO ESS - TBC</w:t>
      </w:r>
    </w:p>
    <w:p w:rsidR="000D0ADF" w:rsidRPr="00A00FE0" w:rsidRDefault="00F53373">
      <w:pPr>
        <w:numPr>
          <w:ilvl w:val="0"/>
          <w:numId w:val="8"/>
        </w:numPr>
        <w:spacing w:before="160" w:after="20" w:line="312" w:lineRule="auto"/>
        <w:ind w:hanging="360"/>
        <w:contextualSpacing/>
        <w:rPr>
          <w:sz w:val="20"/>
          <w:szCs w:val="20"/>
          <w:highlight w:val="white"/>
          <w:lang w:val="en-US"/>
        </w:rPr>
      </w:pPr>
      <w:proofErr w:type="spellStart"/>
      <w:r w:rsidRPr="00A00FE0">
        <w:rPr>
          <w:sz w:val="20"/>
          <w:szCs w:val="20"/>
          <w:highlight w:val="white"/>
          <w:lang w:val="en-US"/>
        </w:rPr>
        <w:t>Charalampos</w:t>
      </w:r>
      <w:proofErr w:type="spellEnd"/>
      <w:r w:rsidRPr="00A00FE0">
        <w:rPr>
          <w:sz w:val="20"/>
          <w:szCs w:val="20"/>
          <w:highlight w:val="white"/>
          <w:lang w:val="en-US"/>
        </w:rPr>
        <w:t xml:space="preserve"> </w:t>
      </w:r>
      <w:proofErr w:type="spellStart"/>
      <w:r w:rsidRPr="00A00FE0">
        <w:rPr>
          <w:sz w:val="20"/>
          <w:szCs w:val="20"/>
          <w:highlight w:val="white"/>
          <w:lang w:val="en-US"/>
        </w:rPr>
        <w:t>Thanopoulos</w:t>
      </w:r>
      <w:proofErr w:type="spellEnd"/>
      <w:r w:rsidRPr="00A00FE0">
        <w:rPr>
          <w:sz w:val="20"/>
          <w:szCs w:val="20"/>
          <w:highlight w:val="white"/>
          <w:lang w:val="en-US"/>
        </w:rPr>
        <w:t xml:space="preserve"> - </w:t>
      </w:r>
      <w:proofErr w:type="spellStart"/>
      <w:r w:rsidRPr="00A00FE0">
        <w:rPr>
          <w:sz w:val="20"/>
          <w:szCs w:val="20"/>
          <w:highlight w:val="white"/>
          <w:lang w:val="en-US"/>
        </w:rPr>
        <w:t>Agroknow</w:t>
      </w:r>
      <w:proofErr w:type="spellEnd"/>
      <w:r w:rsidRPr="00A00FE0">
        <w:rPr>
          <w:sz w:val="20"/>
          <w:szCs w:val="20"/>
          <w:highlight w:val="white"/>
          <w:lang w:val="en-US"/>
        </w:rPr>
        <w:t xml:space="preserve"> Greece - Expert on data interoperability</w:t>
      </w:r>
    </w:p>
    <w:p w:rsidR="000D0ADF" w:rsidRDefault="00F53373">
      <w:pPr>
        <w:numPr>
          <w:ilvl w:val="0"/>
          <w:numId w:val="8"/>
        </w:numPr>
        <w:spacing w:before="160" w:after="20" w:line="312" w:lineRule="auto"/>
        <w:ind w:hanging="360"/>
        <w:contextualSpacing/>
        <w:rPr>
          <w:sz w:val="20"/>
          <w:szCs w:val="20"/>
          <w:highlight w:val="white"/>
        </w:rPr>
      </w:pPr>
      <w:r>
        <w:rPr>
          <w:sz w:val="20"/>
          <w:szCs w:val="20"/>
          <w:highlight w:val="white"/>
        </w:rPr>
        <w:t>Imma Subirats / C.Caracciola - FAO OPCC Rome - Data interoperability experts</w:t>
      </w:r>
    </w:p>
    <w:p w:rsidR="000D0ADF" w:rsidRDefault="00F53373">
      <w:pPr>
        <w:numPr>
          <w:ilvl w:val="0"/>
          <w:numId w:val="8"/>
        </w:numPr>
        <w:spacing w:before="160" w:after="20" w:line="312" w:lineRule="auto"/>
        <w:ind w:hanging="360"/>
        <w:contextualSpacing/>
        <w:rPr>
          <w:sz w:val="20"/>
          <w:szCs w:val="20"/>
          <w:highlight w:val="white"/>
        </w:rPr>
      </w:pPr>
      <w:r>
        <w:rPr>
          <w:sz w:val="20"/>
          <w:szCs w:val="20"/>
          <w:highlight w:val="white"/>
        </w:rPr>
        <w:t>NOAA - TBC</w:t>
      </w:r>
    </w:p>
    <w:p w:rsidR="000D0ADF" w:rsidRPr="00A00FE0" w:rsidRDefault="00F53373">
      <w:pPr>
        <w:numPr>
          <w:ilvl w:val="0"/>
          <w:numId w:val="8"/>
        </w:numPr>
        <w:spacing w:before="160" w:after="20" w:line="312" w:lineRule="auto"/>
        <w:ind w:hanging="360"/>
        <w:contextualSpacing/>
        <w:rPr>
          <w:sz w:val="20"/>
          <w:szCs w:val="20"/>
          <w:highlight w:val="white"/>
          <w:lang w:val="en-US"/>
        </w:rPr>
      </w:pPr>
      <w:r w:rsidRPr="00A00FE0">
        <w:rPr>
          <w:sz w:val="20"/>
          <w:szCs w:val="20"/>
          <w:highlight w:val="white"/>
          <w:lang w:val="en-US"/>
        </w:rPr>
        <w:t xml:space="preserve">NAFO - Through FAO </w:t>
      </w:r>
      <w:proofErr w:type="spellStart"/>
      <w:r w:rsidRPr="00A00FE0">
        <w:rPr>
          <w:sz w:val="20"/>
          <w:szCs w:val="20"/>
          <w:highlight w:val="white"/>
          <w:lang w:val="en-US"/>
        </w:rPr>
        <w:t>FiRMS</w:t>
      </w:r>
      <w:proofErr w:type="spellEnd"/>
      <w:r w:rsidRPr="00A00FE0">
        <w:rPr>
          <w:sz w:val="20"/>
          <w:szCs w:val="20"/>
          <w:highlight w:val="white"/>
          <w:lang w:val="en-US"/>
        </w:rPr>
        <w:t xml:space="preserve"> partnership and CWP (logbook data models)</w:t>
      </w:r>
    </w:p>
    <w:p w:rsidR="000D0ADF" w:rsidRPr="00A00FE0" w:rsidRDefault="00F53373">
      <w:pPr>
        <w:numPr>
          <w:ilvl w:val="0"/>
          <w:numId w:val="8"/>
        </w:numPr>
        <w:spacing w:before="160" w:after="20" w:line="312" w:lineRule="auto"/>
        <w:ind w:hanging="360"/>
        <w:contextualSpacing/>
        <w:rPr>
          <w:sz w:val="20"/>
          <w:szCs w:val="20"/>
          <w:highlight w:val="white"/>
          <w:lang w:val="en-US"/>
        </w:rPr>
      </w:pPr>
      <w:r w:rsidRPr="00A00FE0">
        <w:rPr>
          <w:sz w:val="20"/>
          <w:szCs w:val="20"/>
          <w:highlight w:val="white"/>
          <w:lang w:val="en-US"/>
        </w:rPr>
        <w:t xml:space="preserve">David </w:t>
      </w:r>
      <w:proofErr w:type="spellStart"/>
      <w:r w:rsidRPr="00A00FE0">
        <w:rPr>
          <w:sz w:val="20"/>
          <w:szCs w:val="20"/>
          <w:highlight w:val="white"/>
          <w:lang w:val="en-US"/>
        </w:rPr>
        <w:t>Ramm</w:t>
      </w:r>
      <w:proofErr w:type="spellEnd"/>
      <w:r w:rsidRPr="00A00FE0">
        <w:rPr>
          <w:sz w:val="20"/>
          <w:szCs w:val="20"/>
          <w:highlight w:val="white"/>
          <w:lang w:val="en-US"/>
        </w:rPr>
        <w:t xml:space="preserve"> - CCAMLR Hobart - Fisheries data management expert </w:t>
      </w:r>
    </w:p>
    <w:p w:rsidR="000D0ADF" w:rsidRDefault="00F53373">
      <w:pPr>
        <w:numPr>
          <w:ilvl w:val="0"/>
          <w:numId w:val="8"/>
        </w:numPr>
        <w:spacing w:before="160" w:after="20" w:line="312" w:lineRule="auto"/>
        <w:ind w:hanging="360"/>
        <w:contextualSpacing/>
        <w:rPr>
          <w:sz w:val="20"/>
          <w:szCs w:val="20"/>
          <w:highlight w:val="white"/>
        </w:rPr>
      </w:pPr>
      <w:r>
        <w:rPr>
          <w:sz w:val="20"/>
          <w:szCs w:val="20"/>
          <w:highlight w:val="white"/>
        </w:rPr>
        <w:t>Alicia Mostiero / Dawn Borg Costanzi - FAO Rome - Global Record - Vessel data management expert  (UN/CEFACT - FLUX)</w:t>
      </w:r>
    </w:p>
    <w:p w:rsidR="000D0ADF" w:rsidRPr="00A00FE0" w:rsidRDefault="00F53373">
      <w:pPr>
        <w:numPr>
          <w:ilvl w:val="0"/>
          <w:numId w:val="8"/>
        </w:numPr>
        <w:spacing w:before="160" w:after="20" w:line="312" w:lineRule="auto"/>
        <w:ind w:hanging="360"/>
        <w:contextualSpacing/>
        <w:rPr>
          <w:sz w:val="20"/>
          <w:szCs w:val="20"/>
          <w:highlight w:val="white"/>
          <w:lang w:val="en-US"/>
        </w:rPr>
      </w:pPr>
      <w:r w:rsidRPr="00A00FE0">
        <w:rPr>
          <w:sz w:val="20"/>
          <w:szCs w:val="20"/>
          <w:highlight w:val="white"/>
          <w:lang w:val="en-US"/>
        </w:rPr>
        <w:t xml:space="preserve">DG Mare - FLUX: Thierry Remy / Eric </w:t>
      </w:r>
      <w:proofErr w:type="spellStart"/>
      <w:r w:rsidRPr="00A00FE0">
        <w:rPr>
          <w:sz w:val="20"/>
          <w:szCs w:val="20"/>
          <w:highlight w:val="white"/>
          <w:lang w:val="en-US"/>
        </w:rPr>
        <w:t>Honoré</w:t>
      </w:r>
      <w:proofErr w:type="spellEnd"/>
      <w:r w:rsidRPr="00A00FE0">
        <w:rPr>
          <w:sz w:val="20"/>
          <w:szCs w:val="20"/>
          <w:highlight w:val="white"/>
          <w:lang w:val="en-US"/>
        </w:rPr>
        <w:t xml:space="preserve"> (UN/CEFACT business layer standard</w:t>
      </w:r>
      <w:r w:rsidRPr="00A00FE0">
        <w:rPr>
          <w:sz w:val="20"/>
          <w:szCs w:val="20"/>
          <w:highlight w:val="white"/>
          <w:lang w:val="en-US"/>
        </w:rPr>
        <w:t>ization)</w:t>
      </w:r>
    </w:p>
    <w:p w:rsidR="000D0ADF" w:rsidRPr="00A00FE0" w:rsidRDefault="00F53373">
      <w:pPr>
        <w:numPr>
          <w:ilvl w:val="0"/>
          <w:numId w:val="8"/>
        </w:numPr>
        <w:spacing w:before="160" w:after="20" w:line="312" w:lineRule="auto"/>
        <w:ind w:hanging="360"/>
        <w:contextualSpacing/>
        <w:rPr>
          <w:sz w:val="20"/>
          <w:szCs w:val="20"/>
          <w:highlight w:val="white"/>
          <w:lang w:val="en-US"/>
        </w:rPr>
      </w:pPr>
      <w:r w:rsidRPr="00A00FE0">
        <w:rPr>
          <w:sz w:val="20"/>
          <w:szCs w:val="20"/>
          <w:highlight w:val="white"/>
          <w:lang w:val="en-US"/>
        </w:rPr>
        <w:t xml:space="preserve">DG </w:t>
      </w:r>
      <w:proofErr w:type="spellStart"/>
      <w:r w:rsidRPr="00A00FE0">
        <w:rPr>
          <w:sz w:val="20"/>
          <w:szCs w:val="20"/>
          <w:highlight w:val="white"/>
          <w:lang w:val="en-US"/>
        </w:rPr>
        <w:t>MAre</w:t>
      </w:r>
      <w:proofErr w:type="spellEnd"/>
      <w:r w:rsidRPr="00A00FE0">
        <w:rPr>
          <w:sz w:val="20"/>
          <w:szCs w:val="20"/>
          <w:highlight w:val="white"/>
          <w:lang w:val="en-US"/>
        </w:rPr>
        <w:t xml:space="preserve"> - DCF: Bas </w:t>
      </w:r>
      <w:proofErr w:type="spellStart"/>
      <w:r w:rsidRPr="00A00FE0">
        <w:rPr>
          <w:sz w:val="20"/>
          <w:szCs w:val="20"/>
          <w:highlight w:val="white"/>
          <w:lang w:val="en-US"/>
        </w:rPr>
        <w:t>Drukker</w:t>
      </w:r>
      <w:proofErr w:type="spellEnd"/>
      <w:r w:rsidRPr="00A00FE0">
        <w:rPr>
          <w:sz w:val="20"/>
          <w:szCs w:val="20"/>
          <w:highlight w:val="white"/>
          <w:lang w:val="en-US"/>
        </w:rPr>
        <w:t xml:space="preserve"> / Venetia </w:t>
      </w:r>
      <w:proofErr w:type="spellStart"/>
      <w:r w:rsidRPr="00A00FE0">
        <w:rPr>
          <w:sz w:val="20"/>
          <w:szCs w:val="20"/>
          <w:highlight w:val="white"/>
          <w:lang w:val="en-US"/>
        </w:rPr>
        <w:t>Kostopoulou</w:t>
      </w:r>
      <w:proofErr w:type="spellEnd"/>
      <w:r w:rsidRPr="00A00FE0">
        <w:rPr>
          <w:sz w:val="20"/>
          <w:szCs w:val="20"/>
          <w:highlight w:val="white"/>
          <w:lang w:val="en-US"/>
        </w:rPr>
        <w:t xml:space="preserve"> </w:t>
      </w:r>
      <w:proofErr w:type="spellStart"/>
      <w:r w:rsidRPr="00A00FE0">
        <w:rPr>
          <w:sz w:val="20"/>
          <w:szCs w:val="20"/>
          <w:highlight w:val="white"/>
          <w:lang w:val="en-US"/>
        </w:rPr>
        <w:t>Venetia.Kostopoulou</w:t>
      </w:r>
      <w:proofErr w:type="spellEnd"/>
      <w:r w:rsidRPr="00A00FE0">
        <w:rPr>
          <w:sz w:val="20"/>
          <w:szCs w:val="20"/>
          <w:highlight w:val="white"/>
          <w:lang w:val="en-US"/>
        </w:rPr>
        <w:t xml:space="preserve"> </w:t>
      </w:r>
    </w:p>
    <w:p w:rsidR="000D0ADF" w:rsidRDefault="00F53373">
      <w:pPr>
        <w:numPr>
          <w:ilvl w:val="0"/>
          <w:numId w:val="8"/>
        </w:numPr>
        <w:spacing w:before="160" w:after="20" w:line="312" w:lineRule="auto"/>
        <w:ind w:hanging="360"/>
        <w:contextualSpacing/>
        <w:rPr>
          <w:sz w:val="20"/>
          <w:szCs w:val="20"/>
          <w:highlight w:val="white"/>
        </w:rPr>
      </w:pPr>
      <w:r>
        <w:rPr>
          <w:sz w:val="20"/>
          <w:szCs w:val="20"/>
          <w:highlight w:val="white"/>
        </w:rPr>
        <w:t xml:space="preserve">JRC - TBD </w:t>
      </w:r>
    </w:p>
    <w:p w:rsidR="000D0ADF" w:rsidRPr="00A00FE0" w:rsidRDefault="00F53373">
      <w:pPr>
        <w:numPr>
          <w:ilvl w:val="0"/>
          <w:numId w:val="8"/>
        </w:numPr>
        <w:spacing w:before="160" w:after="20" w:line="312" w:lineRule="auto"/>
        <w:ind w:hanging="360"/>
        <w:contextualSpacing/>
        <w:rPr>
          <w:sz w:val="20"/>
          <w:szCs w:val="20"/>
          <w:highlight w:val="white"/>
          <w:lang w:val="en-US"/>
        </w:rPr>
      </w:pPr>
      <w:r w:rsidRPr="00A00FE0">
        <w:rPr>
          <w:sz w:val="20"/>
          <w:szCs w:val="20"/>
          <w:highlight w:val="white"/>
          <w:lang w:val="en-US"/>
        </w:rPr>
        <w:t xml:space="preserve">VLIZ - </w:t>
      </w:r>
      <w:proofErr w:type="spellStart"/>
      <w:r w:rsidRPr="00A00FE0">
        <w:rPr>
          <w:sz w:val="20"/>
          <w:szCs w:val="20"/>
          <w:highlight w:val="white"/>
          <w:lang w:val="en-US"/>
        </w:rPr>
        <w:t>WoRMS</w:t>
      </w:r>
      <w:proofErr w:type="spellEnd"/>
      <w:r w:rsidRPr="00A00FE0">
        <w:rPr>
          <w:sz w:val="20"/>
          <w:szCs w:val="20"/>
          <w:highlight w:val="white"/>
          <w:lang w:val="en-US"/>
        </w:rPr>
        <w:t xml:space="preserve"> Marine species master data, marine </w:t>
      </w:r>
      <w:proofErr w:type="spellStart"/>
      <w:r w:rsidRPr="00A00FE0">
        <w:rPr>
          <w:sz w:val="20"/>
          <w:szCs w:val="20"/>
          <w:highlight w:val="white"/>
          <w:lang w:val="en-US"/>
        </w:rPr>
        <w:t>georeferences</w:t>
      </w:r>
      <w:proofErr w:type="spellEnd"/>
    </w:p>
    <w:p w:rsidR="000D0ADF" w:rsidRDefault="00F53373">
      <w:pPr>
        <w:numPr>
          <w:ilvl w:val="0"/>
          <w:numId w:val="8"/>
        </w:numPr>
        <w:spacing w:before="160" w:after="20" w:line="312" w:lineRule="auto"/>
        <w:ind w:hanging="360"/>
        <w:contextualSpacing/>
        <w:rPr>
          <w:sz w:val="20"/>
          <w:szCs w:val="20"/>
          <w:highlight w:val="white"/>
        </w:rPr>
      </w:pPr>
      <w:hyperlink r:id="rId12">
        <w:r>
          <w:rPr>
            <w:sz w:val="20"/>
            <w:szCs w:val="20"/>
            <w:highlight w:val="white"/>
          </w:rPr>
          <w:t>Dimitris Gavrilis</w:t>
        </w:r>
      </w:hyperlink>
      <w:r>
        <w:rPr>
          <w:sz w:val="20"/>
          <w:szCs w:val="20"/>
          <w:highlight w:val="white"/>
        </w:rPr>
        <w:t xml:space="preserve"> - Athena R</w:t>
      </w:r>
      <w:r>
        <w:rPr>
          <w:sz w:val="20"/>
          <w:szCs w:val="20"/>
          <w:highlight w:val="white"/>
        </w:rPr>
        <w:t>C</w:t>
      </w:r>
    </w:p>
    <w:p w:rsidR="000D0ADF" w:rsidRDefault="000D0ADF">
      <w:pPr>
        <w:spacing w:before="160" w:after="160" w:line="312" w:lineRule="auto"/>
      </w:pPr>
    </w:p>
    <w:p w:rsidR="000D0ADF" w:rsidRDefault="00F53373">
      <w:pPr>
        <w:spacing w:before="160" w:after="160" w:line="312" w:lineRule="auto"/>
        <w:jc w:val="both"/>
      </w:pPr>
      <w:r>
        <w:rPr>
          <w:sz w:val="21"/>
          <w:szCs w:val="21"/>
          <w:highlight w:val="white"/>
        </w:rPr>
        <w:t xml:space="preserve"> </w:t>
      </w:r>
    </w:p>
    <w:p w:rsidR="000D0ADF" w:rsidRDefault="000D0ADF"/>
    <w:sectPr w:rsidR="000D0ADF">
      <w:headerReference w:type="default" r:id="rId13"/>
      <w:footerReference w:type="default" r:id="rId14"/>
      <w:footerReference w:type="first" r:id="rId15"/>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73" w:rsidRDefault="00F53373">
      <w:pPr>
        <w:spacing w:line="240" w:lineRule="auto"/>
      </w:pPr>
      <w:r>
        <w:separator/>
      </w:r>
    </w:p>
  </w:endnote>
  <w:endnote w:type="continuationSeparator" w:id="0">
    <w:p w:rsidR="00F53373" w:rsidRDefault="00F53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DF" w:rsidRDefault="00F53373">
    <w:pPr>
      <w:jc w:val="right"/>
    </w:pPr>
    <w:r>
      <w:fldChar w:fldCharType="begin"/>
    </w:r>
    <w:r>
      <w:instrText>PAGE</w:instrText>
    </w:r>
    <w:r>
      <w:fldChar w:fldCharType="separate"/>
    </w:r>
    <w:r w:rsidR="00A00FE0">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DF" w:rsidRDefault="000D0A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73" w:rsidRDefault="00F53373">
      <w:pPr>
        <w:spacing w:line="240" w:lineRule="auto"/>
      </w:pPr>
      <w:r>
        <w:separator/>
      </w:r>
    </w:p>
  </w:footnote>
  <w:footnote w:type="continuationSeparator" w:id="0">
    <w:p w:rsidR="00F53373" w:rsidRDefault="00F533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DF" w:rsidRDefault="00F53373">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ACA"/>
    <w:multiLevelType w:val="multilevel"/>
    <w:tmpl w:val="B784E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642DA1"/>
    <w:multiLevelType w:val="multilevel"/>
    <w:tmpl w:val="489885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3D906BD"/>
    <w:multiLevelType w:val="multilevel"/>
    <w:tmpl w:val="6AE2D2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56B2A2F"/>
    <w:multiLevelType w:val="multilevel"/>
    <w:tmpl w:val="163EB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675404E"/>
    <w:multiLevelType w:val="multilevel"/>
    <w:tmpl w:val="7BB42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70A0618"/>
    <w:multiLevelType w:val="multilevel"/>
    <w:tmpl w:val="EB5CB5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B077442"/>
    <w:multiLevelType w:val="multilevel"/>
    <w:tmpl w:val="B4246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0FA7DE3"/>
    <w:multiLevelType w:val="multilevel"/>
    <w:tmpl w:val="A6C42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7"/>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D0ADF"/>
    <w:rsid w:val="000D0ADF"/>
    <w:rsid w:val="00A00FE0"/>
    <w:rsid w:val="00A06A99"/>
    <w:rsid w:val="00F53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fconventions.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is.athena-innovation.gr/en/people/member/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d-alliance.org/groups/agrisemantics-wg.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oc-unesco.org/" TargetMode="External"/><Relationship Id="rId4" Type="http://schemas.openxmlformats.org/officeDocument/2006/relationships/settings" Target="settings.xml"/><Relationship Id="rId9" Type="http://schemas.openxmlformats.org/officeDocument/2006/relationships/hyperlink" Target="http://cfconvention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Timea</cp:lastModifiedBy>
  <cp:revision>2</cp:revision>
  <dcterms:created xsi:type="dcterms:W3CDTF">2016-10-21T13:14:00Z</dcterms:created>
  <dcterms:modified xsi:type="dcterms:W3CDTF">2016-10-21T13:14:00Z</dcterms:modified>
</cp:coreProperties>
</file>