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B492" w14:textId="2F02D7B2" w:rsidR="00D30B30" w:rsidRDefault="00D30B30" w:rsidP="00D442B9">
      <w:pPr>
        <w:shd w:val="clear" w:color="auto" w:fill="FFFFFF"/>
        <w:spacing w:before="150" w:after="150" w:line="312" w:lineRule="atLeast"/>
        <w:jc w:val="center"/>
        <w:textAlignment w:val="baseline"/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  <w:r w:rsidRPr="00D442B9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 xml:space="preserve">RDA WG </w:t>
      </w:r>
      <w:r w:rsidR="00A9620C" w:rsidRPr="00D442B9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 xml:space="preserve">- </w:t>
      </w:r>
      <w:r w:rsidRPr="00D442B9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>Blockchain</w:t>
      </w:r>
      <w:r w:rsidR="00EB65A4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 xml:space="preserve"> A</w:t>
      </w:r>
      <w:r w:rsidR="00A9620C" w:rsidRPr="00D442B9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>pplication</w:t>
      </w:r>
      <w:r w:rsidR="00760A34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>s</w:t>
      </w:r>
      <w:r w:rsidR="00A9620C" w:rsidRPr="00D442B9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 xml:space="preserve"> in Health</w:t>
      </w:r>
      <w:r w:rsidR="00EB65A4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 xml:space="preserve"> </w:t>
      </w:r>
      <w:r w:rsidR="00EB65A4" w:rsidRPr="00D442B9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>Working G</w:t>
      </w:r>
      <w:r w:rsidR="00EB65A4"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  <w:t>roup</w:t>
      </w:r>
    </w:p>
    <w:p w14:paraId="7ADE09CE" w14:textId="77777777" w:rsidR="00D442B9" w:rsidRPr="00D442B9" w:rsidRDefault="00D442B9" w:rsidP="00D442B9">
      <w:pPr>
        <w:shd w:val="clear" w:color="auto" w:fill="FFFFFF"/>
        <w:spacing w:before="150" w:after="150" w:line="312" w:lineRule="atLeast"/>
        <w:jc w:val="center"/>
        <w:textAlignment w:val="baseline"/>
        <w:rPr>
          <w:rFonts w:ascii="Open Sans" w:eastAsia="Times New Roman" w:hAnsi="Open Sans" w:cs="Times New Roman"/>
          <w:b/>
          <w:sz w:val="28"/>
          <w:szCs w:val="28"/>
          <w:shd w:val="clear" w:color="auto" w:fill="FFFFFF"/>
          <w:lang w:val="en-GB"/>
        </w:rPr>
      </w:pPr>
    </w:p>
    <w:p w14:paraId="57487F9A" w14:textId="76A51FBC" w:rsidR="00D30B30" w:rsidRPr="00A0658D" w:rsidRDefault="00D30B30" w:rsidP="00A0658D">
      <w:pPr>
        <w:numPr>
          <w:ilvl w:val="0"/>
          <w:numId w:val="2"/>
        </w:numPr>
        <w:spacing w:line="384" w:lineRule="atLeast"/>
        <w:textAlignment w:val="baseline"/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</w:pPr>
      <w:r w:rsidRPr="008A6D98"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  <w:t>WG Charter </w:t>
      </w:r>
    </w:p>
    <w:p w14:paraId="71D38C54" w14:textId="41865E4E" w:rsidR="00AB6781" w:rsidRDefault="005A0AF7" w:rsidP="009D65C6">
      <w:pPr>
        <w:spacing w:line="384" w:lineRule="atLeast"/>
        <w:rPr>
          <w:rFonts w:ascii="Open Sans" w:eastAsia="Times New Roman" w:hAnsi="Open Sans" w:cs="Times New Roman"/>
          <w:shd w:val="clear" w:color="auto" w:fill="FFFFFF"/>
          <w:lang w:val="en-GB"/>
        </w:rPr>
      </w:pPr>
      <w:r>
        <w:rPr>
          <w:rFonts w:ascii="Open Sans" w:eastAsia="Times New Roman" w:hAnsi="Open Sans" w:cs="Times New Roman"/>
          <w:shd w:val="clear" w:color="auto" w:fill="FFFFFF"/>
          <w:lang w:val="en-GB"/>
        </w:rPr>
        <w:t>T</w:t>
      </w:r>
      <w:r w:rsidR="00653052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he Health Data IG is sponsoring the idea of establishing </w:t>
      </w:r>
      <w:r w:rsidR="00503B3B">
        <w:rPr>
          <w:rFonts w:ascii="Open Sans" w:eastAsia="Times New Roman" w:hAnsi="Open Sans" w:cs="Times New Roman"/>
          <w:shd w:val="clear" w:color="auto" w:fill="FFFFFF"/>
          <w:lang w:val="en-GB"/>
        </w:rPr>
        <w:t>a WG focusing on Blockchain in H</w:t>
      </w:r>
      <w:r w:rsidR="00653052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ealth data</w:t>
      </w:r>
      <w:r w:rsidR="00B54B0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</w:t>
      </w:r>
      <w:r w:rsidR="00FE5556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as </w:t>
      </w:r>
      <w:r w:rsidR="00566E0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 </w:t>
      </w:r>
      <w:r w:rsidR="00636369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technological advanced solution for </w:t>
      </w:r>
      <w:r w:rsidR="00B54B0D">
        <w:rPr>
          <w:rFonts w:ascii="Open Sans" w:eastAsia="Times New Roman" w:hAnsi="Open Sans" w:cs="Times New Roman"/>
          <w:shd w:val="clear" w:color="auto" w:fill="FFFFFF"/>
          <w:lang w:val="en-GB"/>
        </w:rPr>
        <w:t>secur</w:t>
      </w:r>
      <w:r w:rsidR="00871F9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ing </w:t>
      </w:r>
      <w:r w:rsidR="00B54B0D">
        <w:rPr>
          <w:rFonts w:ascii="Open Sans" w:eastAsia="Times New Roman" w:hAnsi="Open Sans" w:cs="Times New Roman"/>
          <w:shd w:val="clear" w:color="auto" w:fill="FFFFFF"/>
          <w:lang w:val="en-GB"/>
        </w:rPr>
        <w:t>data sharing among clinical institutions and individuals</w:t>
      </w:r>
      <w:r w:rsidR="00653052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.</w:t>
      </w:r>
    </w:p>
    <w:p w14:paraId="7F108372" w14:textId="69A6E0A6" w:rsidR="00A015DD" w:rsidRPr="00A015DD" w:rsidRDefault="00A015DD" w:rsidP="00A015DD">
      <w:pPr>
        <w:spacing w:line="384" w:lineRule="atLeast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Simply stated, the blockchain is a cryptographic protocol which makes it possible to run a distributed, public and trustable ledger where </w:t>
      </w:r>
      <w:r w:rsidR="00871F91"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transactions </w:t>
      </w:r>
      <w:r w:rsidR="00871F9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referring to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digital object</w:t>
      </w:r>
      <w:r w:rsidR="00871F91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are signed with issuer and recipient’s identities, verified by a community of peers and stored as incremental “blocks” in</w:t>
      </w:r>
      <w:r w:rsidR="00871F91">
        <w:rPr>
          <w:rFonts w:ascii="Open Sans" w:eastAsia="Times New Roman" w:hAnsi="Open Sans" w:cs="Times New Roman"/>
          <w:shd w:val="clear" w:color="auto" w:fill="FFFFFF"/>
          <w:lang w:val="en-GB"/>
        </w:rPr>
        <w:t>to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a shared database. Beyond technicalities, the true disruption of the blockchain lies in the fact that it brings digital trust over a potentially un</w:t>
      </w:r>
      <w:r w:rsidR="00871F91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trustable network.</w:t>
      </w:r>
    </w:p>
    <w:p w14:paraId="35DD11EA" w14:textId="6106FB14" w:rsidR="005A0AF7" w:rsidRPr="00503B3B" w:rsidRDefault="00A015DD" w:rsidP="00A015DD">
      <w:pPr>
        <w:spacing w:line="384" w:lineRule="atLeast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The deployment of such a ledger at large scale c</w:t>
      </w:r>
      <w:r w:rsidR="00871F9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an enable health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data transactions</w:t>
      </w:r>
      <w:r w:rsidR="00871F9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based (when needed) on the appropriate patient’s consent and/or the hospital’s permission and operated through self-enacting smart contracts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</w:t>
      </w:r>
      <w:r w:rsidR="00871F9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in combination with a catalogue of all available data, which would be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browsable at anytime, anywhere and by anyone, yet containing no sensitive information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>.</w:t>
      </w:r>
    </w:p>
    <w:p w14:paraId="23A4B584" w14:textId="3F65666B" w:rsidR="00653052" w:rsidRDefault="00653052" w:rsidP="009D65C6">
      <w:pPr>
        <w:spacing w:line="384" w:lineRule="atLeast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The aim of establishing a dedicated WG is:</w:t>
      </w:r>
    </w:p>
    <w:p w14:paraId="3016DDFB" w14:textId="67C103B9" w:rsidR="00463C68" w:rsidRPr="00F3344D" w:rsidRDefault="00463C68" w:rsidP="00463C68">
      <w:pPr>
        <w:pStyle w:val="ListParagraph"/>
        <w:numPr>
          <w:ilvl w:val="0"/>
          <w:numId w:val="5"/>
        </w:numPr>
        <w:spacing w:line="384" w:lineRule="atLeast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F334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to </w:t>
      </w:r>
      <w:r w:rsidR="00F3344D" w:rsidRPr="00F334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analyse and compare </w:t>
      </w:r>
      <w:r w:rsidRPr="00F3344D">
        <w:rPr>
          <w:rFonts w:ascii="Open Sans" w:eastAsia="Times New Roman" w:hAnsi="Open Sans" w:cs="Times New Roman"/>
          <w:shd w:val="clear" w:color="auto" w:fill="FFFFFF"/>
          <w:lang w:val="en-GB"/>
        </w:rPr>
        <w:t>usages of the blockchain in healthcare, implementations of blockchain architectures, associated legal and socio-economic impacts and perspectives</w:t>
      </w:r>
    </w:p>
    <w:p w14:paraId="00D45DDA" w14:textId="143F7C3A" w:rsidR="00653052" w:rsidRPr="00503B3B" w:rsidRDefault="00F3344D" w:rsidP="009D65C6">
      <w:pPr>
        <w:pStyle w:val="ListParagraph"/>
        <w:numPr>
          <w:ilvl w:val="0"/>
          <w:numId w:val="5"/>
        </w:numPr>
        <w:spacing w:line="384" w:lineRule="atLeast"/>
        <w:rPr>
          <w:rFonts w:ascii="Open Sans" w:eastAsia="Times New Roman" w:hAnsi="Open Sans" w:cs="Times New Roman"/>
          <w:shd w:val="clear" w:color="auto" w:fill="FFFFFF"/>
          <w:lang w:val="en-GB"/>
        </w:rPr>
      </w:pPr>
      <w:r>
        <w:rPr>
          <w:rFonts w:ascii="Open Sans" w:eastAsia="Times New Roman" w:hAnsi="Open Sans" w:cs="Times New Roman"/>
          <w:shd w:val="clear" w:color="auto" w:fill="FFFFFF"/>
          <w:lang w:val="en-GB"/>
        </w:rPr>
        <w:t>to assess</w:t>
      </w:r>
      <w:r w:rsidR="00653052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the potential of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blockchain-based self-enacting </w:t>
      </w:r>
      <w:r w:rsidR="00653052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smart contracts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in handling consent and data permission systems</w:t>
      </w:r>
      <w:r w:rsidR="004456B4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>minimising transaction costs</w:t>
      </w:r>
    </w:p>
    <w:p w14:paraId="6E211FF3" w14:textId="578B9417" w:rsidR="00653052" w:rsidRPr="00503B3B" w:rsidRDefault="00653052" w:rsidP="009D65C6">
      <w:pPr>
        <w:pStyle w:val="ListParagraph"/>
        <w:numPr>
          <w:ilvl w:val="0"/>
          <w:numId w:val="5"/>
        </w:numPr>
        <w:spacing w:line="384" w:lineRule="atLeast"/>
        <w:ind w:left="714" w:hanging="357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to assess whether </w:t>
      </w:r>
      <w:r w:rsidR="006A71D5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and how </w:t>
      </w: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the blockchain can ensure compliance with advanced data protection requirements (such as those defined</w:t>
      </w:r>
      <w:r w:rsidR="00F334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by the EU General Data Protection Regulation – GDPR), yet making it happen seamlessly and efficiently, at scale.</w:t>
      </w:r>
    </w:p>
    <w:p w14:paraId="07D3B07B" w14:textId="1AE6B6A1" w:rsidR="00653052" w:rsidRPr="00503B3B" w:rsidRDefault="00653052" w:rsidP="009D65C6">
      <w:pPr>
        <w:spacing w:line="384" w:lineRule="atLeast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Within 18 months of activity</w:t>
      </w:r>
      <w:r w:rsidR="00127CA4">
        <w:rPr>
          <w:rFonts w:ascii="Open Sans" w:eastAsia="Times New Roman" w:hAnsi="Open Sans" w:cs="Times New Roman"/>
          <w:shd w:val="clear" w:color="auto" w:fill="FFFFFF"/>
          <w:lang w:val="en-GB"/>
        </w:rPr>
        <w:t>, starting</w:t>
      </w: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="00F3344D" w:rsidRPr="00F3344D">
        <w:rPr>
          <w:rFonts w:ascii="Open Sans" w:eastAsia="Times New Roman" w:hAnsi="Open Sans" w:cs="Times New Roman"/>
          <w:shd w:val="clear" w:color="auto" w:fill="FFFFFF"/>
          <w:lang w:val="en-GB"/>
        </w:rPr>
        <w:t>fro</w:t>
      </w:r>
      <w:r w:rsidR="00730E90" w:rsidRPr="00F334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m concrete examples, the group will draw a set of use-cases, thus feeding a working draft and concluding on good practices, technical recommendations, and guidance to healthcare professionals interested in </w:t>
      </w:r>
      <w:r w:rsidR="00F3344D" w:rsidRPr="00F3344D">
        <w:rPr>
          <w:rFonts w:ascii="Open Sans" w:eastAsia="Times New Roman" w:hAnsi="Open Sans" w:cs="Times New Roman"/>
          <w:shd w:val="clear" w:color="auto" w:fill="FFFFFF"/>
          <w:lang w:val="en-GB"/>
        </w:rPr>
        <w:t>having recourse to blockchain solutions</w:t>
      </w:r>
      <w:r w:rsidR="00730E90" w:rsidRPr="00F3344D">
        <w:rPr>
          <w:rFonts w:ascii="Open Sans" w:eastAsia="Times New Roman" w:hAnsi="Open Sans" w:cs="Times New Roman"/>
          <w:shd w:val="clear" w:color="auto" w:fill="FFFFFF"/>
          <w:lang w:val="en-GB"/>
        </w:rPr>
        <w:t>.</w:t>
      </w:r>
    </w:p>
    <w:p w14:paraId="5F261FCB" w14:textId="77777777" w:rsidR="00653052" w:rsidRPr="00503B3B" w:rsidRDefault="00653052" w:rsidP="00653052">
      <w:pPr>
        <w:rPr>
          <w:rFonts w:ascii="Times" w:eastAsia="Times New Roman" w:hAnsi="Times" w:cs="Times New Roman"/>
          <w:lang w:val="en-GB"/>
        </w:rPr>
      </w:pPr>
    </w:p>
    <w:p w14:paraId="13542B63" w14:textId="77777777" w:rsidR="00027DFA" w:rsidRPr="00503B3B" w:rsidRDefault="00027DFA" w:rsidP="00027DFA">
      <w:pPr>
        <w:spacing w:line="384" w:lineRule="atLeast"/>
        <w:ind w:left="540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val="en-GB"/>
        </w:rPr>
      </w:pPr>
    </w:p>
    <w:p w14:paraId="20ACFF89" w14:textId="506DF0D1" w:rsidR="00AB6781" w:rsidRPr="00D442B9" w:rsidRDefault="00D30B30" w:rsidP="00D442B9">
      <w:pPr>
        <w:numPr>
          <w:ilvl w:val="0"/>
          <w:numId w:val="2"/>
        </w:numPr>
        <w:spacing w:line="384" w:lineRule="atLeast"/>
        <w:textAlignment w:val="baseline"/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</w:pPr>
      <w:r w:rsidRPr="008A6D98"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  <w:t>Value Proposition</w:t>
      </w:r>
    </w:p>
    <w:p w14:paraId="411D0D1F" w14:textId="57C93EC2" w:rsidR="00530EE4" w:rsidRPr="00A015DD" w:rsidRDefault="00530EE4" w:rsidP="00530EE4">
      <w:pPr>
        <w:spacing w:line="384" w:lineRule="atLeast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Imagine a place where individuals, research 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>centres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, pharma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c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>ompanies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and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healthcare professionals can easily search for and mobilise </w:t>
      </w:r>
      <w:r w:rsidR="00C749A1"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on demand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large volumes of data while ensuring </w:t>
      </w:r>
      <w:r w:rsidR="00C749A1"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at all time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="00C749A1"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patients’ clear consents and 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highest standards of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privacy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protection and security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coping with any hurdle deriving from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geographical location, data complexity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or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data protection laws.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</w:p>
    <w:p w14:paraId="41E31EB0" w14:textId="49D4FF6D" w:rsidR="00530EE4" w:rsidRDefault="00530EE4" w:rsidP="009D65C6">
      <w:pPr>
        <w:spacing w:line="384" w:lineRule="atLeast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The blockchain c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>an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help 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to establish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>a solid technological backbone, supporting healthcare information systems’ resilience, and acting as an operational data protection regulation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compliant </w:t>
      </w:r>
      <w:r w:rsidRPr="00A015DD">
        <w:rPr>
          <w:rFonts w:ascii="Open Sans" w:eastAsia="Times New Roman" w:hAnsi="Open Sans" w:cs="Times New Roman"/>
          <w:shd w:val="clear" w:color="auto" w:fill="FFFFFF"/>
          <w:lang w:val="en-GB"/>
        </w:rPr>
        <w:lastRenderedPageBreak/>
        <w:t xml:space="preserve">infrastructure, where data transactions are informed and controlled by informational self-determination and privacy-by-design/default principles. </w:t>
      </w:r>
    </w:p>
    <w:p w14:paraId="2C27A34E" w14:textId="067210FA" w:rsidR="009D65C6" w:rsidRPr="00503B3B" w:rsidRDefault="00540AF5" w:rsidP="009D65C6">
      <w:pPr>
        <w:spacing w:line="384" w:lineRule="atLeast"/>
        <w:textAlignment w:val="baseline"/>
        <w:rPr>
          <w:rFonts w:ascii="Open Sans" w:eastAsia="Times New Roman" w:hAnsi="Open Sans" w:cs="Times New Roman"/>
          <w:lang w:val="en-GB"/>
        </w:rPr>
      </w:pPr>
      <w:r>
        <w:rPr>
          <w:rFonts w:ascii="Open Sans" w:eastAsia="Times New Roman" w:hAnsi="Open Sans" w:cs="Times New Roman"/>
          <w:shd w:val="clear" w:color="auto" w:fill="FFFFFF"/>
          <w:lang w:val="en-GB"/>
        </w:rPr>
        <w:t>T</w:t>
      </w:r>
      <w:r w:rsidR="009D65C6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he guidelines produced as WG</w:t>
      </w:r>
      <w:r w:rsidR="009D65C6" w:rsidRPr="00503B3B">
        <w:rPr>
          <w:rFonts w:ascii="Open Sans" w:eastAsia="Times New Roman" w:hAnsi="Open Sans" w:cs="Times New Roman" w:hint="eastAsia"/>
          <w:shd w:val="clear" w:color="auto" w:fill="FFFFFF"/>
          <w:lang w:val="en-GB"/>
        </w:rPr>
        <w:t>’</w:t>
      </w:r>
      <w:r w:rsidR="009D65C6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s outcome shall benefit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all kind of </w:t>
      </w:r>
      <w:r w:rsidR="003C7871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stakeholders dealing with health data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who </w:t>
      </w:r>
      <w:r w:rsidR="008E780D">
        <w:rPr>
          <w:rFonts w:ascii="Open Sans" w:eastAsia="Times New Roman" w:hAnsi="Open Sans" w:cs="Times New Roman"/>
          <w:shd w:val="clear" w:color="auto" w:fill="FFFFFF"/>
          <w:lang w:val="en-GB"/>
        </w:rPr>
        <w:t>require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full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traceability of data usage </w:t>
      </w:r>
      <w:r w:rsidR="003C7871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especially for research purposes, 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and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who 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>will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benefit from transparency and trust, </w:t>
      </w:r>
      <w:r w:rsidR="003C7871"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such as: 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biomedical </w:t>
      </w:r>
      <w:r w:rsidR="00A015DD" w:rsidRP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researchers, clinicians, 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>drug and device trials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operators</w:t>
      </w:r>
      <w:r w:rsidR="00C749A1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</w:t>
      </w:r>
      <w:r w:rsidR="008462F0">
        <w:rPr>
          <w:rFonts w:ascii="Open Sans" w:eastAsia="Times New Roman" w:hAnsi="Open Sans" w:cs="Times New Roman"/>
          <w:shd w:val="clear" w:color="auto" w:fill="FFFFFF"/>
          <w:lang w:val="en-GB"/>
        </w:rPr>
        <w:t>individual patients w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>ishing</w:t>
      </w:r>
      <w:r w:rsidR="008462F0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to know more about 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other </w:t>
      </w:r>
      <w:r w:rsidR="008462F0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people sharing 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>similar</w:t>
      </w:r>
      <w:r w:rsidR="008462F0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medical condition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="008462F0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</w:t>
      </w: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as </w:t>
      </w:r>
      <w:r w:rsidR="008462F0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well </w:t>
      </w: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as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>individuals/</w:t>
      </w: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>patients/citizens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willing to make use of trustful blockchain-based </w:t>
      </w:r>
      <w:r w:rsidRPr="00503B3B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systems 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for contributing to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data sharing 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>to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>enhance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scientific research and medical knowledge.</w:t>
      </w:r>
      <w:r w:rsidR="009D65C6" w:rsidRPr="00503B3B">
        <w:rPr>
          <w:rFonts w:ascii="Open Sans" w:eastAsia="Times New Roman" w:hAnsi="Open Sans" w:cs="Times New Roman"/>
          <w:lang w:val="en-GB"/>
        </w:rPr>
        <w:br/>
      </w:r>
    </w:p>
    <w:p w14:paraId="03D26B0C" w14:textId="77777777" w:rsidR="008A6D98" w:rsidRPr="00D442B9" w:rsidRDefault="00D30B30" w:rsidP="0037129E">
      <w:pPr>
        <w:numPr>
          <w:ilvl w:val="0"/>
          <w:numId w:val="2"/>
        </w:numPr>
        <w:spacing w:line="384" w:lineRule="atLeast"/>
        <w:textAlignment w:val="baseline"/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</w:pPr>
      <w:r w:rsidRPr="008A6D98"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  <w:t>Engagement with existing work in the area</w:t>
      </w:r>
    </w:p>
    <w:p w14:paraId="7346B29B" w14:textId="6BFDFAA7" w:rsidR="007D344A" w:rsidRPr="008A6D98" w:rsidRDefault="008A3934" w:rsidP="008A6D98">
      <w:pPr>
        <w:spacing w:line="384" w:lineRule="atLeast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>The</w:t>
      </w:r>
      <w:r w:rsidR="00127CA4"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WG</w:t>
      </w:r>
      <w:r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on Blockchain application</w:t>
      </w:r>
      <w:r w:rsidR="008A6D98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in Health</w:t>
      </w:r>
      <w:r w:rsidR="00127CA4"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will be directly associated with </w:t>
      </w:r>
      <w:r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Health Data IG, </w:t>
      </w:r>
      <w:r w:rsidR="00A673B6">
        <w:rPr>
          <w:rFonts w:ascii="Open Sans" w:eastAsia="Times New Roman" w:hAnsi="Open Sans" w:cs="Times New Roman"/>
          <w:shd w:val="clear" w:color="auto" w:fill="FFFFFF"/>
          <w:lang w:val="en-GB"/>
        </w:rPr>
        <w:t>and</w:t>
      </w:r>
      <w:r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it will </w:t>
      </w:r>
      <w:r w:rsidR="007D344A"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seek cooperation with all groups interested in applying blockchain to other areas, </w:t>
      </w:r>
      <w:r w:rsidR="00EA6BFA"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>such as</w:t>
      </w:r>
      <w:r w:rsidR="007D344A"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</w:t>
      </w:r>
      <w:r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Ethics and Social Aspects of Data IG or </w:t>
      </w:r>
      <w:r w:rsid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</w:t>
      </w:r>
      <w:r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>Working Group for Data Security and Trust (WGDST)</w:t>
      </w:r>
      <w:r w:rsid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as well as any group interested in the future in better understanding the blockchain potential by clustering with the </w:t>
      </w:r>
      <w:r w:rsidR="0037129E"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>Blockchain application</w:t>
      </w:r>
      <w:r w:rsidR="0037129E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="0037129E" w:rsidRPr="008A6D9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in Health</w:t>
      </w:r>
      <w:r w:rsid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WG.</w:t>
      </w:r>
    </w:p>
    <w:p w14:paraId="5A6F604C" w14:textId="77777777" w:rsidR="007D344A" w:rsidRDefault="007D344A" w:rsidP="007D344A">
      <w:pPr>
        <w:spacing w:line="384" w:lineRule="atLeast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</w:p>
    <w:p w14:paraId="0C74C212" w14:textId="70EF33CA" w:rsidR="0037129E" w:rsidRPr="0037129E" w:rsidRDefault="00D30B30" w:rsidP="0037129E">
      <w:pPr>
        <w:numPr>
          <w:ilvl w:val="0"/>
          <w:numId w:val="2"/>
        </w:numPr>
        <w:spacing w:line="384" w:lineRule="atLeast"/>
        <w:textAlignment w:val="baseline"/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</w:pPr>
      <w:r w:rsidRPr="0037129E"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  <w:t>Work Plan</w:t>
      </w:r>
    </w:p>
    <w:p w14:paraId="755FB8FD" w14:textId="77777777" w:rsidR="0037129E" w:rsidRPr="0037129E" w:rsidRDefault="000812ED" w:rsidP="0037129E">
      <w:pPr>
        <w:pStyle w:val="ListParagraph"/>
        <w:numPr>
          <w:ilvl w:val="0"/>
          <w:numId w:val="9"/>
        </w:numPr>
        <w:spacing w:line="384" w:lineRule="atLeast"/>
        <w:ind w:right="300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final deliverable of the WG will be a set of 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Guidelines for 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establishing a scalable b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lockchain-based data sharing system in 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h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ealthcare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. 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These guidelines 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will include 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a s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tate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of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the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art report and 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 report on regulatory and 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legal issues, focus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sing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on 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b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lockchain application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in </w:t>
      </w:r>
      <w:r w:rsidR="0037129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h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ealth. </w:t>
      </w:r>
    </w:p>
    <w:p w14:paraId="2CA30D10" w14:textId="0CCBDF51" w:rsidR="00B827FC" w:rsidRPr="0037129E" w:rsidRDefault="0037129E" w:rsidP="0037129E">
      <w:pPr>
        <w:pStyle w:val="ListParagraph"/>
        <w:numPr>
          <w:ilvl w:val="0"/>
          <w:numId w:val="9"/>
        </w:numPr>
        <w:spacing w:line="384" w:lineRule="atLeast"/>
        <w:ind w:right="300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>
        <w:rPr>
          <w:rFonts w:ascii="Open Sans" w:eastAsia="Times New Roman" w:hAnsi="Open Sans" w:cs="Times New Roman"/>
          <w:shd w:val="clear" w:color="auto" w:fill="FFFFFF"/>
          <w:lang w:val="en-GB"/>
        </w:rPr>
        <w:t>At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6 months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>interval, 3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report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will be 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presented at each RDA Plenary WG’s Session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highlighting 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performed analysis and activities,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following </w:t>
      </w:r>
      <w:r w:rsidR="002E77A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3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>steps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: first, the s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tate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of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the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art report</w:t>
      </w:r>
      <w:r w:rsidR="002E77A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(after 6 months)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describing the current experiences in blockchain based handling of health data; second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,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report on </w:t>
      </w:r>
      <w:r w:rsidR="00E3224D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regulatory and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l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egal issues </w:t>
      </w:r>
      <w:r w:rsidR="002E77A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(after 12 months)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; third, the comprehensive 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Guidelines</w:t>
      </w:r>
      <w:r w:rsidR="002E77A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on Blockchain application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="002E77A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in Health (after 18 months)</w:t>
      </w:r>
      <w:r w:rsidR="006F676E">
        <w:rPr>
          <w:rFonts w:ascii="Open Sans" w:eastAsia="Times New Roman" w:hAnsi="Open Sans" w:cs="Times New Roman"/>
          <w:shd w:val="clear" w:color="auto" w:fill="FFFFFF"/>
          <w:lang w:val="en-GB"/>
        </w:rPr>
        <w:t>, inclusive also of an example of basic coding for a health-data blockchain architecture</w:t>
      </w:r>
      <w:r w:rsidR="00BB3B78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. </w:t>
      </w:r>
    </w:p>
    <w:p w14:paraId="50606A98" w14:textId="3846054E" w:rsidR="00B827FC" w:rsidRPr="0037129E" w:rsidRDefault="00B827FC" w:rsidP="00E3224D">
      <w:pPr>
        <w:pStyle w:val="ListParagraph"/>
        <w:numPr>
          <w:ilvl w:val="0"/>
          <w:numId w:val="9"/>
        </w:numPr>
        <w:spacing w:line="384" w:lineRule="atLeast"/>
        <w:ind w:right="300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From the start of the WG,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its 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members will be asked to join one or more of the proposed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sub-groups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</w:p>
    <w:p w14:paraId="2B4F5F08" w14:textId="0638E972" w:rsidR="00BB3B78" w:rsidRPr="0037129E" w:rsidRDefault="00BB3B78" w:rsidP="00E3224D">
      <w:pPr>
        <w:pStyle w:val="ListParagraph"/>
        <w:numPr>
          <w:ilvl w:val="0"/>
          <w:numId w:val="9"/>
        </w:numPr>
        <w:spacing w:line="384" w:lineRule="atLeast"/>
        <w:ind w:right="300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Working documents will be made </w:t>
      </w:r>
      <w:r w:rsidR="002E77A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public or 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accessible </w:t>
      </w:r>
      <w:r w:rsidR="002E77A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to WG/RDA members </w:t>
      </w:r>
      <w:r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via </w:t>
      </w:r>
      <w:r w:rsidR="002E77AE" w:rsidRPr="0037129E">
        <w:rPr>
          <w:rFonts w:ascii="Open Sans" w:eastAsia="Times New Roman" w:hAnsi="Open Sans" w:cs="Times New Roman"/>
          <w:shd w:val="clear" w:color="auto" w:fill="FFFFFF"/>
          <w:lang w:val="en-GB"/>
        </w:rPr>
        <w:t>open tools such as Google docs.</w:t>
      </w:r>
    </w:p>
    <w:p w14:paraId="02BDD97B" w14:textId="49BB1216" w:rsidR="005C439C" w:rsidRPr="005C439C" w:rsidRDefault="005C439C" w:rsidP="00E3224D">
      <w:pPr>
        <w:pStyle w:val="ListParagraph"/>
        <w:numPr>
          <w:ilvl w:val="0"/>
          <w:numId w:val="9"/>
        </w:numPr>
        <w:spacing w:line="384" w:lineRule="atLeast"/>
        <w:ind w:right="300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BB3B78">
        <w:rPr>
          <w:rFonts w:ascii="Open Sans" w:eastAsia="Times New Roman" w:hAnsi="Open Sans" w:cs="Times New Roman"/>
          <w:shd w:val="clear" w:color="auto" w:fill="FFFFFF"/>
          <w:lang w:val="en-GB"/>
        </w:rPr>
        <w:t>Over a period of one and a half year, the working group will host a</w:t>
      </w:r>
      <w:r w:rsidR="00BC6397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general</w:t>
      </w:r>
      <w:r w:rsidRPr="00BB3B7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2</w:t>
      </w:r>
      <w:r w:rsidR="002E77AE">
        <w:rPr>
          <w:rFonts w:ascii="Open Sans" w:eastAsia="Times New Roman" w:hAnsi="Open Sans" w:cs="Times New Roman"/>
          <w:shd w:val="clear" w:color="auto" w:fill="FFFFFF"/>
          <w:lang w:val="en-GB"/>
        </w:rPr>
        <w:t>-</w:t>
      </w:r>
      <w:r w:rsidRPr="00BB3B78">
        <w:rPr>
          <w:rFonts w:ascii="Open Sans" w:eastAsia="Times New Roman" w:hAnsi="Open Sans" w:cs="Times New Roman"/>
          <w:shd w:val="clear" w:color="auto" w:fill="FFFFFF"/>
          <w:lang w:val="en-GB"/>
        </w:rPr>
        <w:t>h</w:t>
      </w:r>
      <w:r w:rsidR="002E77AE">
        <w:rPr>
          <w:rFonts w:ascii="Open Sans" w:eastAsia="Times New Roman" w:hAnsi="Open Sans" w:cs="Times New Roman"/>
          <w:shd w:val="clear" w:color="auto" w:fill="FFFFFF"/>
          <w:lang w:val="en-GB"/>
        </w:rPr>
        <w:t>our</w:t>
      </w:r>
      <w:r w:rsidRPr="00BB3B7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telco on a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quarterly</w:t>
      </w:r>
      <w:r w:rsidRPr="00BB3B7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basis and meet in person every six month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 w:rsidRPr="00BB3B78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at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</w:t>
      </w:r>
      <w:r w:rsidRPr="00BB3B78">
        <w:rPr>
          <w:rFonts w:ascii="Open Sans" w:eastAsia="Times New Roman" w:hAnsi="Open Sans" w:cs="Times New Roman"/>
          <w:shd w:val="clear" w:color="auto" w:fill="FFFFFF"/>
          <w:lang w:val="en-GB"/>
        </w:rPr>
        <w:t>RDA Plenary Assembl</w:t>
      </w:r>
      <w:r w:rsidR="002E77AE">
        <w:rPr>
          <w:rFonts w:ascii="Open Sans" w:eastAsia="Times New Roman" w:hAnsi="Open Sans" w:cs="Times New Roman"/>
          <w:shd w:val="clear" w:color="auto" w:fill="FFFFFF"/>
          <w:lang w:val="en-GB"/>
        </w:rPr>
        <w:t>y</w:t>
      </w:r>
      <w:r w:rsidRPr="00BB3B78">
        <w:rPr>
          <w:rFonts w:ascii="Open Sans" w:eastAsia="Times New Roman" w:hAnsi="Open Sans" w:cs="Times New Roman"/>
          <w:shd w:val="clear" w:color="auto" w:fill="FFFFFF"/>
          <w:lang w:val="en-GB"/>
        </w:rPr>
        <w:t>.</w:t>
      </w:r>
      <w:r w:rsidR="00BC6397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Smaller groups, dedicated to the above-mentioned reports, will communicate on-line at least on a monthly basis.</w:t>
      </w:r>
    </w:p>
    <w:p w14:paraId="7E82B956" w14:textId="1C1DAE57" w:rsidR="002E77AE" w:rsidRPr="00E3224D" w:rsidRDefault="00EA7A7B" w:rsidP="00E3224D">
      <w:pPr>
        <w:pStyle w:val="ListParagraph"/>
        <w:numPr>
          <w:ilvl w:val="0"/>
          <w:numId w:val="9"/>
        </w:numPr>
        <w:spacing w:line="384" w:lineRule="atLeast"/>
        <w:ind w:right="300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3C7F6A">
        <w:rPr>
          <w:rFonts w:ascii="Open Sans" w:eastAsia="Times New Roman" w:hAnsi="Open Sans" w:cs="Times New Roman"/>
          <w:shd w:val="clear" w:color="auto" w:fill="FFFFFF"/>
          <w:lang w:val="en-GB"/>
        </w:rPr>
        <w:lastRenderedPageBreak/>
        <w:t xml:space="preserve">The WG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members will work individually or in small groups depending on the activities to be performed in relation to the above-mentioned WG outcomes. Activities </w:t>
      </w:r>
      <w:r w:rsidR="00A015DD">
        <w:rPr>
          <w:rFonts w:ascii="Open Sans" w:eastAsia="Times New Roman" w:hAnsi="Open Sans" w:cs="Times New Roman"/>
          <w:shd w:val="clear" w:color="auto" w:fill="FFFFFF"/>
          <w:lang w:val="en-GB"/>
        </w:rPr>
        <w:t>assigned,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and draft outcomes will be discussed</w:t>
      </w:r>
      <w:r w:rsidR="00A015DD">
        <w:rPr>
          <w:rFonts w:ascii="Open Sans" w:eastAsia="Times New Roman" w:hAnsi="Open Sans" w:cs="Times New Roman"/>
          <w:shd w:val="clear" w:color="auto" w:fill="FFFFFF"/>
          <w:lang w:val="en-GB"/>
        </w:rPr>
        <w:t>,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="002C21EF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monitored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and reviewed </w:t>
      </w:r>
      <w:r w:rsidR="002C21EF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during </w:t>
      </w:r>
      <w:r w:rsidR="00A015D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quarterly</w:t>
      </w:r>
      <w:r w:rsidR="002C21EF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telco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>s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</w:t>
      </w:r>
      <w:r w:rsidR="002C21EF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and Plenary sessions, </w:t>
      </w:r>
      <w:r w:rsidR="00E3224D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and </w:t>
      </w:r>
      <w:r w:rsidR="002C21EF">
        <w:rPr>
          <w:rFonts w:ascii="Open Sans" w:eastAsia="Times New Roman" w:hAnsi="Open Sans" w:cs="Times New Roman"/>
          <w:shd w:val="clear" w:color="auto" w:fill="FFFFFF"/>
          <w:lang w:val="en-GB"/>
        </w:rPr>
        <w:t>additional TCs will be organized when needed.</w:t>
      </w:r>
    </w:p>
    <w:p w14:paraId="53D36F29" w14:textId="15C3F1E8" w:rsidR="003C7F6A" w:rsidRPr="003C7F6A" w:rsidRDefault="003C7F6A" w:rsidP="00E3224D">
      <w:pPr>
        <w:pStyle w:val="ListParagraph"/>
        <w:numPr>
          <w:ilvl w:val="0"/>
          <w:numId w:val="9"/>
        </w:numPr>
        <w:spacing w:line="384" w:lineRule="atLeast"/>
        <w:ind w:right="300"/>
        <w:textAlignment w:val="baseline"/>
        <w:rPr>
          <w:rFonts w:ascii="Open Sans" w:eastAsia="Times New Roman" w:hAnsi="Open Sans" w:cs="Times New Roman"/>
          <w:shd w:val="clear" w:color="auto" w:fill="FFFFFF"/>
          <w:lang w:val="en-GB"/>
        </w:rPr>
      </w:pPr>
      <w:r w:rsidRPr="003C7F6A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The WG Guidelines will be reported to the Health Data IG so that </w:t>
      </w:r>
      <w:r>
        <w:rPr>
          <w:rFonts w:ascii="Open Sans" w:eastAsia="Times New Roman" w:hAnsi="Open Sans" w:cs="Times New Roman"/>
          <w:shd w:val="clear" w:color="auto" w:fill="FFFFFF"/>
          <w:lang w:val="en-GB"/>
        </w:rPr>
        <w:t>HDIG</w:t>
      </w:r>
      <w:r w:rsidRPr="003C7F6A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members may share and disseminate </w:t>
      </w:r>
      <w:r w:rsidR="00B86D99">
        <w:rPr>
          <w:rFonts w:ascii="Open Sans" w:eastAsia="Times New Roman" w:hAnsi="Open Sans" w:cs="Times New Roman"/>
          <w:shd w:val="clear" w:color="auto" w:fill="FFFFFF"/>
          <w:lang w:val="en-GB"/>
        </w:rPr>
        <w:t>them</w:t>
      </w:r>
      <w:r w:rsidRPr="003C7F6A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in all relevant </w:t>
      </w:r>
      <w:r w:rsidR="00B86D99">
        <w:rPr>
          <w:rFonts w:ascii="Open Sans" w:eastAsia="Times New Roman" w:hAnsi="Open Sans" w:cs="Times New Roman"/>
          <w:shd w:val="clear" w:color="auto" w:fill="FFFFFF"/>
          <w:lang w:val="en-GB"/>
        </w:rPr>
        <w:t>events</w:t>
      </w:r>
      <w:r w:rsidRPr="003C7F6A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 they </w:t>
      </w:r>
      <w:r w:rsidR="00B86D99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will </w:t>
      </w:r>
      <w:r w:rsidRPr="003C7F6A">
        <w:rPr>
          <w:rFonts w:ascii="Open Sans" w:eastAsia="Times New Roman" w:hAnsi="Open Sans" w:cs="Times New Roman"/>
          <w:shd w:val="clear" w:color="auto" w:fill="FFFFFF"/>
          <w:lang w:val="en-GB"/>
        </w:rPr>
        <w:t xml:space="preserve">happen to attend. </w:t>
      </w:r>
    </w:p>
    <w:p w14:paraId="773EA594" w14:textId="77777777" w:rsidR="003C7F6A" w:rsidRPr="00503B3B" w:rsidRDefault="003C7F6A" w:rsidP="005C439C">
      <w:pPr>
        <w:spacing w:line="384" w:lineRule="atLeast"/>
        <w:ind w:right="300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val="en-GB"/>
        </w:rPr>
      </w:pPr>
    </w:p>
    <w:p w14:paraId="58F0BC09" w14:textId="5DACB0DD" w:rsidR="00CF1C41" w:rsidRPr="00B86D99" w:rsidRDefault="00D30B30" w:rsidP="00B86D99">
      <w:pPr>
        <w:numPr>
          <w:ilvl w:val="0"/>
          <w:numId w:val="2"/>
        </w:numPr>
        <w:spacing w:line="384" w:lineRule="atLeast"/>
        <w:textAlignment w:val="baseline"/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</w:pPr>
      <w:r w:rsidRPr="00B86D99">
        <w:rPr>
          <w:rFonts w:ascii="Open Sans" w:eastAsia="Times New Roman" w:hAnsi="Open Sans" w:cs="Times New Roman"/>
          <w:b/>
          <w:bCs/>
          <w:bdr w:val="none" w:sz="0" w:space="0" w:color="auto" w:frame="1"/>
          <w:lang w:val="en-GB"/>
        </w:rPr>
        <w:t>Initial Membership</w:t>
      </w:r>
    </w:p>
    <w:p w14:paraId="4509E8F3" w14:textId="77777777" w:rsidR="00B86D99" w:rsidRPr="00503B3B" w:rsidRDefault="00B86D99" w:rsidP="00B86D99">
      <w:pPr>
        <w:spacing w:line="384" w:lineRule="atLeast"/>
        <w:ind w:left="540"/>
        <w:textAlignment w:val="baseline"/>
        <w:rPr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723"/>
        <w:gridCol w:w="3257"/>
        <w:gridCol w:w="2950"/>
      </w:tblGrid>
      <w:tr w:rsidR="00EA7A7B" w14:paraId="03AB6FED" w14:textId="77777777" w:rsidTr="00EA7A7B">
        <w:tc>
          <w:tcPr>
            <w:tcW w:w="2723" w:type="dxa"/>
          </w:tcPr>
          <w:p w14:paraId="27BBFD3A" w14:textId="32C8231D" w:rsidR="00EA7A7B" w:rsidRDefault="00EA7A7B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257" w:type="dxa"/>
          </w:tcPr>
          <w:p w14:paraId="71EE545D" w14:textId="3562BCE1" w:rsidR="00EA7A7B" w:rsidRDefault="00EA7A7B">
            <w:pPr>
              <w:rPr>
                <w:lang w:val="en-GB"/>
              </w:rPr>
            </w:pPr>
            <w:r>
              <w:rPr>
                <w:lang w:val="en-GB"/>
              </w:rPr>
              <w:t>Membership</w:t>
            </w:r>
          </w:p>
        </w:tc>
        <w:tc>
          <w:tcPr>
            <w:tcW w:w="2950" w:type="dxa"/>
          </w:tcPr>
          <w:p w14:paraId="5F2759C3" w14:textId="463CFB65" w:rsidR="00EA7A7B" w:rsidRDefault="00EA7A7B">
            <w:pPr>
              <w:rPr>
                <w:lang w:val="en-GB"/>
              </w:rPr>
            </w:pPr>
            <w:r>
              <w:rPr>
                <w:lang w:val="en-GB"/>
              </w:rPr>
              <w:t xml:space="preserve">Region/Country </w:t>
            </w:r>
          </w:p>
        </w:tc>
      </w:tr>
      <w:tr w:rsidR="00EA7A7B" w14:paraId="0BD78058" w14:textId="77777777" w:rsidTr="00EA7A7B">
        <w:tc>
          <w:tcPr>
            <w:tcW w:w="2723" w:type="dxa"/>
          </w:tcPr>
          <w:p w14:paraId="62F181A8" w14:textId="1400050A" w:rsidR="00EA7A7B" w:rsidRDefault="00EA7A7B">
            <w:pPr>
              <w:rPr>
                <w:lang w:val="en-GB"/>
              </w:rPr>
            </w:pPr>
            <w:r>
              <w:rPr>
                <w:lang w:val="en-GB"/>
              </w:rPr>
              <w:t>Edwin Morley-Fletcher</w:t>
            </w:r>
          </w:p>
        </w:tc>
        <w:tc>
          <w:tcPr>
            <w:tcW w:w="3257" w:type="dxa"/>
          </w:tcPr>
          <w:p w14:paraId="6607EA76" w14:textId="1427F15B" w:rsidR="00EA7A7B" w:rsidRDefault="00B86D99">
            <w:pPr>
              <w:rPr>
                <w:lang w:val="en-GB"/>
              </w:rPr>
            </w:pPr>
            <w:r>
              <w:rPr>
                <w:lang w:val="en-GB"/>
              </w:rPr>
              <w:t>Co-</w:t>
            </w:r>
            <w:r w:rsidR="00EA7A7B">
              <w:rPr>
                <w:lang w:val="en-GB"/>
              </w:rPr>
              <w:t>Chair</w:t>
            </w:r>
          </w:p>
        </w:tc>
        <w:tc>
          <w:tcPr>
            <w:tcW w:w="2950" w:type="dxa"/>
          </w:tcPr>
          <w:p w14:paraId="58BAA84D" w14:textId="60183724" w:rsidR="00EA7A7B" w:rsidRDefault="00EA7A7B">
            <w:pPr>
              <w:rPr>
                <w:lang w:val="en-GB"/>
              </w:rPr>
            </w:pPr>
            <w:r>
              <w:rPr>
                <w:lang w:val="en-GB"/>
              </w:rPr>
              <w:t>Italy</w:t>
            </w:r>
          </w:p>
        </w:tc>
      </w:tr>
      <w:tr w:rsidR="00EA7A7B" w14:paraId="71BA869D" w14:textId="77777777" w:rsidTr="00EA7A7B">
        <w:tc>
          <w:tcPr>
            <w:tcW w:w="2723" w:type="dxa"/>
          </w:tcPr>
          <w:p w14:paraId="656378CC" w14:textId="3DAEA95B" w:rsidR="00EA7A7B" w:rsidRDefault="00EA7A7B">
            <w:pPr>
              <w:rPr>
                <w:lang w:val="en-GB"/>
              </w:rPr>
            </w:pPr>
            <w:r>
              <w:rPr>
                <w:lang w:val="en-GB"/>
              </w:rPr>
              <w:t>David Manset</w:t>
            </w:r>
          </w:p>
        </w:tc>
        <w:tc>
          <w:tcPr>
            <w:tcW w:w="3257" w:type="dxa"/>
          </w:tcPr>
          <w:p w14:paraId="341E193B" w14:textId="4874DD3E" w:rsidR="00EA7A7B" w:rsidRDefault="00B86D99">
            <w:pPr>
              <w:rPr>
                <w:lang w:val="en-GB"/>
              </w:rPr>
            </w:pPr>
            <w:r>
              <w:rPr>
                <w:lang w:val="en-GB"/>
              </w:rPr>
              <w:t>Co-</w:t>
            </w:r>
            <w:r w:rsidR="00EA7A7B">
              <w:rPr>
                <w:lang w:val="en-GB"/>
              </w:rPr>
              <w:t>Chair</w:t>
            </w:r>
          </w:p>
        </w:tc>
        <w:tc>
          <w:tcPr>
            <w:tcW w:w="2950" w:type="dxa"/>
          </w:tcPr>
          <w:p w14:paraId="01BAAE3A" w14:textId="128CCF23" w:rsidR="00EA7A7B" w:rsidRDefault="00EA7A7B">
            <w:pPr>
              <w:rPr>
                <w:lang w:val="en-GB"/>
              </w:rPr>
            </w:pPr>
            <w:r>
              <w:rPr>
                <w:lang w:val="en-GB"/>
              </w:rPr>
              <w:t>France</w:t>
            </w:r>
          </w:p>
        </w:tc>
      </w:tr>
      <w:tr w:rsidR="00EA7A7B" w:rsidRPr="00B86D99" w14:paraId="0EF26D2B" w14:textId="77777777" w:rsidTr="00EA7A7B">
        <w:tc>
          <w:tcPr>
            <w:tcW w:w="2723" w:type="dxa"/>
          </w:tcPr>
          <w:p w14:paraId="1BCB20F0" w14:textId="061EC66E" w:rsidR="00EA7A7B" w:rsidRPr="00B86D99" w:rsidRDefault="00B86D99">
            <w:pPr>
              <w:rPr>
                <w:lang w:val="nl-NL"/>
              </w:rPr>
            </w:pPr>
            <w:r w:rsidRPr="00B86D99">
              <w:rPr>
                <w:lang w:val="nl-NL"/>
              </w:rPr>
              <w:t xml:space="preserve">Aggelos Kiayias </w:t>
            </w:r>
          </w:p>
        </w:tc>
        <w:tc>
          <w:tcPr>
            <w:tcW w:w="3257" w:type="dxa"/>
          </w:tcPr>
          <w:p w14:paraId="5ABB50F5" w14:textId="0AA52A45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Co-Chair</w:t>
            </w:r>
          </w:p>
        </w:tc>
        <w:tc>
          <w:tcPr>
            <w:tcW w:w="2950" w:type="dxa"/>
          </w:tcPr>
          <w:p w14:paraId="5F1DA291" w14:textId="543EA053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UK</w:t>
            </w:r>
          </w:p>
        </w:tc>
      </w:tr>
      <w:tr w:rsidR="00EA7A7B" w:rsidRPr="00B86D99" w14:paraId="59E87FD2" w14:textId="77777777" w:rsidTr="00EA7A7B">
        <w:tc>
          <w:tcPr>
            <w:tcW w:w="2723" w:type="dxa"/>
          </w:tcPr>
          <w:p w14:paraId="0552D1F5" w14:textId="794ABF95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Yannis Ioannidis</w:t>
            </w:r>
          </w:p>
        </w:tc>
        <w:tc>
          <w:tcPr>
            <w:tcW w:w="3257" w:type="dxa"/>
          </w:tcPr>
          <w:p w14:paraId="554D547B" w14:textId="77777777" w:rsidR="00EA7A7B" w:rsidRPr="00B86D99" w:rsidRDefault="00EA7A7B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12AEE088" w14:textId="019975AF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Greece</w:t>
            </w:r>
          </w:p>
        </w:tc>
      </w:tr>
      <w:tr w:rsidR="00795C83" w:rsidRPr="00B86D99" w14:paraId="7711F725" w14:textId="77777777" w:rsidTr="00EA7A7B">
        <w:tc>
          <w:tcPr>
            <w:tcW w:w="2723" w:type="dxa"/>
          </w:tcPr>
          <w:p w14:paraId="654D5F1B" w14:textId="142EB6D8" w:rsidR="00795C83" w:rsidRDefault="00795C83">
            <w:pPr>
              <w:rPr>
                <w:lang w:val="nl-NL"/>
              </w:rPr>
            </w:pPr>
            <w:r>
              <w:rPr>
                <w:lang w:val="nl-NL"/>
              </w:rPr>
              <w:t xml:space="preserve">Leslie </w:t>
            </w:r>
            <w:r w:rsidR="00EB65A4">
              <w:rPr>
                <w:lang w:val="nl-NL"/>
              </w:rPr>
              <w:t>McInto</w:t>
            </w:r>
            <w:r w:rsidR="006F676E">
              <w:rPr>
                <w:lang w:val="nl-NL"/>
              </w:rPr>
              <w:t>sh</w:t>
            </w:r>
          </w:p>
        </w:tc>
        <w:tc>
          <w:tcPr>
            <w:tcW w:w="3257" w:type="dxa"/>
          </w:tcPr>
          <w:p w14:paraId="644686D8" w14:textId="77777777" w:rsidR="00795C83" w:rsidRPr="00B86D99" w:rsidRDefault="00795C83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00AFE5DD" w14:textId="0F023797" w:rsidR="00795C83" w:rsidRDefault="00795C83">
            <w:pPr>
              <w:rPr>
                <w:lang w:val="nl-NL"/>
              </w:rPr>
            </w:pPr>
            <w:r>
              <w:rPr>
                <w:lang w:val="nl-NL"/>
              </w:rPr>
              <w:t>USA</w:t>
            </w:r>
          </w:p>
        </w:tc>
      </w:tr>
      <w:tr w:rsidR="00EA7A7B" w:rsidRPr="00B86D99" w14:paraId="131D7D15" w14:textId="77777777" w:rsidTr="00EA7A7B">
        <w:tc>
          <w:tcPr>
            <w:tcW w:w="2723" w:type="dxa"/>
          </w:tcPr>
          <w:p w14:paraId="477C80E4" w14:textId="46B3A402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Patrick Ruch</w:t>
            </w:r>
          </w:p>
        </w:tc>
        <w:tc>
          <w:tcPr>
            <w:tcW w:w="3257" w:type="dxa"/>
          </w:tcPr>
          <w:p w14:paraId="0E69905C" w14:textId="77777777" w:rsidR="00EA7A7B" w:rsidRPr="00B86D99" w:rsidRDefault="00EA7A7B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02D3D19F" w14:textId="207C7BE6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Switzerland</w:t>
            </w:r>
          </w:p>
        </w:tc>
      </w:tr>
      <w:tr w:rsidR="00795C83" w:rsidRPr="00B86D99" w14:paraId="0CE82700" w14:textId="77777777" w:rsidTr="00EA7A7B">
        <w:tc>
          <w:tcPr>
            <w:tcW w:w="2723" w:type="dxa"/>
          </w:tcPr>
          <w:p w14:paraId="0E61DB5A" w14:textId="29C3E3BE" w:rsidR="00795C83" w:rsidRDefault="00795C83">
            <w:pPr>
              <w:rPr>
                <w:lang w:val="nl-NL"/>
              </w:rPr>
            </w:pPr>
            <w:r w:rsidRPr="00795C83">
              <w:rPr>
                <w:lang w:val="nl-NL"/>
              </w:rPr>
              <w:t>Anne-Marie Tassé</w:t>
            </w:r>
          </w:p>
        </w:tc>
        <w:tc>
          <w:tcPr>
            <w:tcW w:w="3257" w:type="dxa"/>
          </w:tcPr>
          <w:p w14:paraId="5B28D772" w14:textId="77777777" w:rsidR="00795C83" w:rsidRPr="00B86D99" w:rsidRDefault="00795C83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48DE22C1" w14:textId="5450BA43" w:rsidR="00795C83" w:rsidRDefault="00795C83">
            <w:pPr>
              <w:rPr>
                <w:lang w:val="nl-NL"/>
              </w:rPr>
            </w:pPr>
            <w:r>
              <w:rPr>
                <w:lang w:val="nl-NL"/>
              </w:rPr>
              <w:t>Canada</w:t>
            </w:r>
          </w:p>
        </w:tc>
      </w:tr>
      <w:tr w:rsidR="00795C83" w:rsidRPr="00B86D99" w14:paraId="1B639F3E" w14:textId="77777777" w:rsidTr="00EA7A7B">
        <w:tc>
          <w:tcPr>
            <w:tcW w:w="2723" w:type="dxa"/>
          </w:tcPr>
          <w:p w14:paraId="5D324D28" w14:textId="7DF383C6" w:rsidR="00795C83" w:rsidRDefault="00795C83">
            <w:pPr>
              <w:rPr>
                <w:lang w:val="nl-NL"/>
              </w:rPr>
            </w:pPr>
            <w:r>
              <w:rPr>
                <w:lang w:val="nl-NL"/>
              </w:rPr>
              <w:t>Ludovica Durst</w:t>
            </w:r>
          </w:p>
        </w:tc>
        <w:tc>
          <w:tcPr>
            <w:tcW w:w="3257" w:type="dxa"/>
          </w:tcPr>
          <w:p w14:paraId="6DC6D45D" w14:textId="77777777" w:rsidR="00795C83" w:rsidRPr="00B86D99" w:rsidRDefault="00795C83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7FCDF602" w14:textId="36404F67" w:rsidR="00795C83" w:rsidRDefault="00795C83">
            <w:pPr>
              <w:rPr>
                <w:lang w:val="nl-NL"/>
              </w:rPr>
            </w:pPr>
            <w:r>
              <w:rPr>
                <w:lang w:val="nl-NL"/>
              </w:rPr>
              <w:t>Italy</w:t>
            </w:r>
          </w:p>
        </w:tc>
      </w:tr>
      <w:tr w:rsidR="00EA7A7B" w:rsidRPr="00B86D99" w14:paraId="3FDEC137" w14:textId="77777777" w:rsidTr="00EA7A7B">
        <w:tc>
          <w:tcPr>
            <w:tcW w:w="2723" w:type="dxa"/>
          </w:tcPr>
          <w:p w14:paraId="6D544A92" w14:textId="0126FD89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Andreas Rauber</w:t>
            </w:r>
          </w:p>
        </w:tc>
        <w:tc>
          <w:tcPr>
            <w:tcW w:w="3257" w:type="dxa"/>
          </w:tcPr>
          <w:p w14:paraId="55BDBFDE" w14:textId="77777777" w:rsidR="00EA7A7B" w:rsidRPr="00B86D99" w:rsidRDefault="00EA7A7B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6B76992A" w14:textId="23330C32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Austria</w:t>
            </w:r>
          </w:p>
        </w:tc>
      </w:tr>
      <w:tr w:rsidR="00795C83" w:rsidRPr="00B86D99" w14:paraId="03F4E63B" w14:textId="77777777" w:rsidTr="00EA7A7B">
        <w:tc>
          <w:tcPr>
            <w:tcW w:w="2723" w:type="dxa"/>
          </w:tcPr>
          <w:p w14:paraId="04A1540D" w14:textId="5A4D5E41" w:rsidR="00795C83" w:rsidRDefault="00795C83">
            <w:pPr>
              <w:rPr>
                <w:lang w:val="nl-NL"/>
              </w:rPr>
            </w:pPr>
            <w:r>
              <w:rPr>
                <w:lang w:val="nl-NL"/>
              </w:rPr>
              <w:t>Laurence Claeys</w:t>
            </w:r>
          </w:p>
        </w:tc>
        <w:tc>
          <w:tcPr>
            <w:tcW w:w="3257" w:type="dxa"/>
          </w:tcPr>
          <w:p w14:paraId="3C222481" w14:textId="77777777" w:rsidR="00795C83" w:rsidRPr="00B86D99" w:rsidRDefault="00795C83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04DF4208" w14:textId="65EC1E56" w:rsidR="00795C83" w:rsidRDefault="00795C83">
            <w:pPr>
              <w:rPr>
                <w:lang w:val="nl-NL"/>
              </w:rPr>
            </w:pPr>
            <w:r>
              <w:rPr>
                <w:lang w:val="nl-NL"/>
              </w:rPr>
              <w:t>Belgium</w:t>
            </w:r>
          </w:p>
        </w:tc>
      </w:tr>
      <w:tr w:rsidR="00EA7A7B" w:rsidRPr="00B86D99" w14:paraId="05F2D892" w14:textId="77777777" w:rsidTr="00EA7A7B">
        <w:tc>
          <w:tcPr>
            <w:tcW w:w="2723" w:type="dxa"/>
          </w:tcPr>
          <w:p w14:paraId="5FA7369E" w14:textId="49801073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Mirko De Maldé</w:t>
            </w:r>
          </w:p>
        </w:tc>
        <w:tc>
          <w:tcPr>
            <w:tcW w:w="3257" w:type="dxa"/>
          </w:tcPr>
          <w:p w14:paraId="2CE72ADC" w14:textId="77777777" w:rsidR="00EA7A7B" w:rsidRPr="00B86D99" w:rsidRDefault="00EA7A7B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3B63FD22" w14:textId="3F558292" w:rsidR="00EA7A7B" w:rsidRP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Italy</w:t>
            </w:r>
          </w:p>
        </w:tc>
      </w:tr>
      <w:tr w:rsidR="00795C83" w:rsidRPr="00B86D99" w14:paraId="558A58E9" w14:textId="77777777" w:rsidTr="00EA7A7B">
        <w:tc>
          <w:tcPr>
            <w:tcW w:w="2723" w:type="dxa"/>
          </w:tcPr>
          <w:p w14:paraId="6EAA3458" w14:textId="13A95D9F" w:rsidR="00795C83" w:rsidRDefault="00795C83">
            <w:pPr>
              <w:rPr>
                <w:lang w:val="nl-NL"/>
              </w:rPr>
            </w:pPr>
            <w:r>
              <w:rPr>
                <w:lang w:val="nl-NL"/>
              </w:rPr>
              <w:t>Aurélie Bayle</w:t>
            </w:r>
          </w:p>
        </w:tc>
        <w:tc>
          <w:tcPr>
            <w:tcW w:w="3257" w:type="dxa"/>
          </w:tcPr>
          <w:p w14:paraId="12A70D95" w14:textId="77777777" w:rsidR="00795C83" w:rsidRPr="00B86D99" w:rsidRDefault="00795C83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2DC0B91D" w14:textId="2900BEEC" w:rsidR="00795C83" w:rsidRDefault="006F676E">
            <w:pPr>
              <w:rPr>
                <w:lang w:val="nl-NL"/>
              </w:rPr>
            </w:pPr>
            <w:r>
              <w:rPr>
                <w:lang w:val="nl-NL"/>
              </w:rPr>
              <w:t>France</w:t>
            </w:r>
          </w:p>
        </w:tc>
      </w:tr>
      <w:tr w:rsidR="00B86D99" w:rsidRPr="00B86D99" w14:paraId="052A0A65" w14:textId="77777777" w:rsidTr="00EA7A7B">
        <w:tc>
          <w:tcPr>
            <w:tcW w:w="2723" w:type="dxa"/>
          </w:tcPr>
          <w:p w14:paraId="43EA8187" w14:textId="7C3DA1E2" w:rsid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Davide Zaccagnini</w:t>
            </w:r>
          </w:p>
        </w:tc>
        <w:tc>
          <w:tcPr>
            <w:tcW w:w="3257" w:type="dxa"/>
          </w:tcPr>
          <w:p w14:paraId="1677E213" w14:textId="77777777" w:rsidR="00B86D99" w:rsidRPr="00B86D99" w:rsidRDefault="00B86D99">
            <w:pPr>
              <w:rPr>
                <w:lang w:val="nl-NL"/>
              </w:rPr>
            </w:pPr>
          </w:p>
        </w:tc>
        <w:tc>
          <w:tcPr>
            <w:tcW w:w="2950" w:type="dxa"/>
          </w:tcPr>
          <w:p w14:paraId="1028B810" w14:textId="54F6C2A4" w:rsidR="00B86D99" w:rsidRDefault="00B86D99">
            <w:pPr>
              <w:rPr>
                <w:lang w:val="nl-NL"/>
              </w:rPr>
            </w:pPr>
            <w:r>
              <w:rPr>
                <w:lang w:val="nl-NL"/>
              </w:rPr>
              <w:t>USA</w:t>
            </w:r>
          </w:p>
        </w:tc>
      </w:tr>
    </w:tbl>
    <w:p w14:paraId="1E56CCBE" w14:textId="6EF4D71B" w:rsidR="00A818F5" w:rsidRPr="00B86D99" w:rsidRDefault="00A818F5">
      <w:pPr>
        <w:rPr>
          <w:lang w:val="nl-NL"/>
        </w:rPr>
      </w:pPr>
    </w:p>
    <w:sectPr w:rsidR="00A818F5" w:rsidRPr="00B86D99" w:rsidSect="00CF1C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B49"/>
    <w:multiLevelType w:val="hybridMultilevel"/>
    <w:tmpl w:val="F09AF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4696"/>
    <w:multiLevelType w:val="hybridMultilevel"/>
    <w:tmpl w:val="6BA8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339D"/>
    <w:multiLevelType w:val="multilevel"/>
    <w:tmpl w:val="A78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A79E7"/>
    <w:multiLevelType w:val="hybridMultilevel"/>
    <w:tmpl w:val="E4540106"/>
    <w:lvl w:ilvl="0" w:tplc="98E628EA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4E4B93"/>
    <w:multiLevelType w:val="multilevel"/>
    <w:tmpl w:val="4790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FBA14F0"/>
    <w:multiLevelType w:val="multilevel"/>
    <w:tmpl w:val="015EA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F219E"/>
    <w:multiLevelType w:val="multilevel"/>
    <w:tmpl w:val="DE7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1223F"/>
    <w:multiLevelType w:val="hybridMultilevel"/>
    <w:tmpl w:val="03C86FF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472249"/>
    <w:multiLevelType w:val="hybridMultilevel"/>
    <w:tmpl w:val="ED74209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0"/>
    <w:rsid w:val="00027DFA"/>
    <w:rsid w:val="000812ED"/>
    <w:rsid w:val="00127CA4"/>
    <w:rsid w:val="001E39C7"/>
    <w:rsid w:val="002C21EF"/>
    <w:rsid w:val="002E77AE"/>
    <w:rsid w:val="0037129E"/>
    <w:rsid w:val="003C6683"/>
    <w:rsid w:val="003C7871"/>
    <w:rsid w:val="003C7F6A"/>
    <w:rsid w:val="004456B4"/>
    <w:rsid w:val="00463C68"/>
    <w:rsid w:val="00493B14"/>
    <w:rsid w:val="00503B3B"/>
    <w:rsid w:val="00517C57"/>
    <w:rsid w:val="00530EE4"/>
    <w:rsid w:val="00540AF5"/>
    <w:rsid w:val="00566E01"/>
    <w:rsid w:val="0058144D"/>
    <w:rsid w:val="005A0AF7"/>
    <w:rsid w:val="005C439C"/>
    <w:rsid w:val="00636369"/>
    <w:rsid w:val="00653052"/>
    <w:rsid w:val="00670595"/>
    <w:rsid w:val="006A71D5"/>
    <w:rsid w:val="006F676E"/>
    <w:rsid w:val="00730E90"/>
    <w:rsid w:val="00760A34"/>
    <w:rsid w:val="00795C83"/>
    <w:rsid w:val="007B097D"/>
    <w:rsid w:val="007D344A"/>
    <w:rsid w:val="008462F0"/>
    <w:rsid w:val="00871F91"/>
    <w:rsid w:val="00877428"/>
    <w:rsid w:val="008803E6"/>
    <w:rsid w:val="008A3934"/>
    <w:rsid w:val="008A6D98"/>
    <w:rsid w:val="008B1399"/>
    <w:rsid w:val="008B34EC"/>
    <w:rsid w:val="008E780D"/>
    <w:rsid w:val="00946316"/>
    <w:rsid w:val="00986C17"/>
    <w:rsid w:val="009C6034"/>
    <w:rsid w:val="009D65C6"/>
    <w:rsid w:val="009D6756"/>
    <w:rsid w:val="00A015DD"/>
    <w:rsid w:val="00A0658D"/>
    <w:rsid w:val="00A4359F"/>
    <w:rsid w:val="00A673B6"/>
    <w:rsid w:val="00A818F5"/>
    <w:rsid w:val="00A85AFC"/>
    <w:rsid w:val="00A9620C"/>
    <w:rsid w:val="00AB6781"/>
    <w:rsid w:val="00AC42C3"/>
    <w:rsid w:val="00B54B0D"/>
    <w:rsid w:val="00B827FC"/>
    <w:rsid w:val="00B86D99"/>
    <w:rsid w:val="00BB3B78"/>
    <w:rsid w:val="00BC6397"/>
    <w:rsid w:val="00BD0BED"/>
    <w:rsid w:val="00C749A1"/>
    <w:rsid w:val="00C868F5"/>
    <w:rsid w:val="00C93743"/>
    <w:rsid w:val="00CF1C41"/>
    <w:rsid w:val="00D30B30"/>
    <w:rsid w:val="00D410D7"/>
    <w:rsid w:val="00D442B9"/>
    <w:rsid w:val="00E3224D"/>
    <w:rsid w:val="00EA6BFA"/>
    <w:rsid w:val="00EA7A7B"/>
    <w:rsid w:val="00EB65A4"/>
    <w:rsid w:val="00F3344D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1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B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30B30"/>
    <w:rPr>
      <w:b/>
      <w:bCs/>
    </w:rPr>
  </w:style>
  <w:style w:type="character" w:styleId="Hyperlink">
    <w:name w:val="Hyperlink"/>
    <w:basedOn w:val="DefaultParagraphFont"/>
    <w:uiPriority w:val="99"/>
    <w:unhideWhenUsed/>
    <w:rsid w:val="00D30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8F5"/>
    <w:pPr>
      <w:ind w:left="720"/>
      <w:contextualSpacing/>
    </w:pPr>
  </w:style>
  <w:style w:type="character" w:customStyle="1" w:styleId="Aucun">
    <w:name w:val="Aucun"/>
    <w:rsid w:val="00730E90"/>
    <w:rPr>
      <w:lang w:val="en-US"/>
    </w:rPr>
  </w:style>
  <w:style w:type="table" w:styleId="TableGrid">
    <w:name w:val="Table Grid"/>
    <w:basedOn w:val="TableNormal"/>
    <w:uiPriority w:val="59"/>
    <w:rsid w:val="00EA7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B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30B30"/>
    <w:rPr>
      <w:b/>
      <w:bCs/>
    </w:rPr>
  </w:style>
  <w:style w:type="character" w:styleId="Hyperlink">
    <w:name w:val="Hyperlink"/>
    <w:basedOn w:val="DefaultParagraphFont"/>
    <w:uiPriority w:val="99"/>
    <w:unhideWhenUsed/>
    <w:rsid w:val="00D30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8F5"/>
    <w:pPr>
      <w:ind w:left="720"/>
      <w:contextualSpacing/>
    </w:pPr>
  </w:style>
  <w:style w:type="character" w:customStyle="1" w:styleId="Aucun">
    <w:name w:val="Aucun"/>
    <w:rsid w:val="00730E90"/>
    <w:rPr>
      <w:lang w:val="en-US"/>
    </w:rPr>
  </w:style>
  <w:style w:type="table" w:styleId="TableGrid">
    <w:name w:val="Table Grid"/>
    <w:basedOn w:val="TableNormal"/>
    <w:uiPriority w:val="59"/>
    <w:rsid w:val="00EA7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Durst</dc:creator>
  <cp:lastModifiedBy>Timea Biro</cp:lastModifiedBy>
  <cp:revision>2</cp:revision>
  <cp:lastPrinted>2018-01-22T16:53:00Z</cp:lastPrinted>
  <dcterms:created xsi:type="dcterms:W3CDTF">2018-01-25T19:44:00Z</dcterms:created>
  <dcterms:modified xsi:type="dcterms:W3CDTF">2018-01-25T19:44:00Z</dcterms:modified>
</cp:coreProperties>
</file>