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65788B" w14:textId="77777777" w:rsidR="00E8126F" w:rsidRDefault="00653540">
      <w:pPr>
        <w:pStyle w:val="Heading1"/>
        <w:spacing w:before="160" w:after="160" w:line="384" w:lineRule="auto"/>
        <w:contextualSpacing w:val="0"/>
      </w:pPr>
      <w:bookmarkStart w:id="0" w:name="_ixlqylqyap2g" w:colFirst="0" w:colLast="0"/>
      <w:bookmarkStart w:id="1" w:name="_GoBack"/>
      <w:bookmarkEnd w:id="0"/>
      <w:bookmarkEnd w:id="1"/>
      <w:r>
        <w:rPr>
          <w:i/>
        </w:rPr>
        <w:t xml:space="preserve">Scholarly Link Exchange Working Group: </w:t>
      </w:r>
      <w:r>
        <w:rPr>
          <w:i/>
        </w:rPr>
        <w:br/>
      </w:r>
      <w:r>
        <w:rPr>
          <w:sz w:val="20"/>
          <w:szCs w:val="20"/>
        </w:rPr>
        <w:t>Follow on from: RDA-WDS working group on Data Publishing Services</w:t>
      </w:r>
    </w:p>
    <w:p w14:paraId="12CE2D50" w14:textId="77777777" w:rsidR="00E8126F" w:rsidRDefault="00653540">
      <w:pPr>
        <w:pStyle w:val="Heading1"/>
        <w:spacing w:before="160" w:after="160" w:line="384" w:lineRule="auto"/>
        <w:contextualSpacing w:val="0"/>
      </w:pPr>
      <w:bookmarkStart w:id="2" w:name="_w10w775iankv" w:colFirst="0" w:colLast="0"/>
      <w:bookmarkEnd w:id="2"/>
      <w:r>
        <w:rPr>
          <w:sz w:val="36"/>
          <w:szCs w:val="36"/>
        </w:rPr>
        <w:t>On Enabling Interlinking of Data and Literature</w:t>
      </w:r>
      <w:r>
        <w:t xml:space="preserve"> </w:t>
      </w:r>
    </w:p>
    <w:p w14:paraId="0AAD0E1D" w14:textId="77777777" w:rsidR="00E8126F" w:rsidRDefault="00653540">
      <w:pPr>
        <w:pStyle w:val="Heading1"/>
        <w:spacing w:before="160" w:after="160" w:line="384" w:lineRule="auto"/>
        <w:contextualSpacing w:val="0"/>
      </w:pPr>
      <w:bookmarkStart w:id="3" w:name="_6fjg3yqydhxa" w:colFirst="0" w:colLast="0"/>
      <w:bookmarkEnd w:id="3"/>
      <w:r>
        <w:t>Charter:</w:t>
      </w:r>
    </w:p>
    <w:p w14:paraId="2C031CEB" w14:textId="77777777" w:rsidR="00E8126F" w:rsidRDefault="00653540">
      <w:r>
        <w:t>The Scholarly Link Exchange Working group aims to enable a comprehensive global view of the links between scholarly literature and data.  The working group will leverage existing work and international initiatives to work towards a global information commons by establishing:</w:t>
      </w:r>
    </w:p>
    <w:p w14:paraId="0E79278F" w14:textId="77777777" w:rsidR="00E8126F" w:rsidRDefault="00653540">
      <w:pPr>
        <w:numPr>
          <w:ilvl w:val="0"/>
          <w:numId w:val="15"/>
        </w:numPr>
        <w:ind w:hanging="360"/>
        <w:contextualSpacing/>
      </w:pPr>
      <w:r>
        <w:t>Pathfinder services and enabling infrastructure</w:t>
      </w:r>
    </w:p>
    <w:p w14:paraId="58EF57AA" w14:textId="77777777" w:rsidR="00E8126F" w:rsidRDefault="00653540">
      <w:pPr>
        <w:numPr>
          <w:ilvl w:val="0"/>
          <w:numId w:val="15"/>
        </w:numPr>
        <w:ind w:hanging="360"/>
        <w:contextualSpacing/>
      </w:pPr>
      <w:r>
        <w:t xml:space="preserve">An interoperability framework with guidelines and standards (see also </w:t>
      </w:r>
      <w:hyperlink r:id="rId7">
        <w:r>
          <w:rPr>
            <w:color w:val="1155CC"/>
            <w:u w:val="single"/>
          </w:rPr>
          <w:t>www.scholix.org</w:t>
        </w:r>
      </w:hyperlink>
      <w:r>
        <w:t xml:space="preserve">) </w:t>
      </w:r>
    </w:p>
    <w:p w14:paraId="7102EFDE" w14:textId="77777777" w:rsidR="00E8126F" w:rsidRDefault="00653540">
      <w:pPr>
        <w:numPr>
          <w:ilvl w:val="0"/>
          <w:numId w:val="15"/>
        </w:numPr>
        <w:ind w:hanging="360"/>
        <w:contextualSpacing/>
      </w:pPr>
      <w:r>
        <w:t>A significant consensus</w:t>
      </w:r>
    </w:p>
    <w:p w14:paraId="18B9130F" w14:textId="77777777" w:rsidR="00E8126F" w:rsidRDefault="00653540">
      <w:pPr>
        <w:numPr>
          <w:ilvl w:val="0"/>
          <w:numId w:val="15"/>
        </w:numPr>
        <w:ind w:hanging="360"/>
        <w:contextualSpacing/>
      </w:pPr>
      <w:r>
        <w:t>Support for communities of practice and implementation</w:t>
      </w:r>
    </w:p>
    <w:p w14:paraId="0F1CE039" w14:textId="77777777" w:rsidR="00E8126F" w:rsidRDefault="00E8126F"/>
    <w:p w14:paraId="61D29FE8" w14:textId="77777777" w:rsidR="00E8126F" w:rsidRDefault="00653540">
      <w:r>
        <w:t>By the end of this 18 month WG period there will be:</w:t>
      </w:r>
    </w:p>
    <w:p w14:paraId="684D5FC5" w14:textId="77777777" w:rsidR="00E8126F" w:rsidRDefault="00653540">
      <w:pPr>
        <w:numPr>
          <w:ilvl w:val="0"/>
          <w:numId w:val="13"/>
        </w:numPr>
        <w:ind w:hanging="360"/>
        <w:contextualSpacing/>
      </w:pPr>
      <w:r>
        <w:t>A critical mass of Scholix conformant hubs providing the enabling infrastructure for a global view of data-literature links</w:t>
      </w:r>
    </w:p>
    <w:p w14:paraId="7B5FF642" w14:textId="77777777" w:rsidR="00E8126F" w:rsidRDefault="00653540">
      <w:pPr>
        <w:numPr>
          <w:ilvl w:val="0"/>
          <w:numId w:val="13"/>
        </w:numPr>
        <w:ind w:hanging="360"/>
        <w:contextualSpacing/>
      </w:pPr>
      <w:r>
        <w:t>Pathfinder services providing aggregations, query services, and analyses</w:t>
      </w:r>
    </w:p>
    <w:p w14:paraId="2B773F2F" w14:textId="77777777" w:rsidR="00E8126F" w:rsidRDefault="00653540">
      <w:pPr>
        <w:numPr>
          <w:ilvl w:val="0"/>
          <w:numId w:val="13"/>
        </w:numPr>
        <w:ind w:hanging="360"/>
        <w:contextualSpacing/>
      </w:pPr>
      <w:r>
        <w:t>Beneficiaries of these services accessing data-literature link information to add value to scholarly journal sites, data centre portals, research impact services, research discovery services, research management software, etc.</w:t>
      </w:r>
    </w:p>
    <w:p w14:paraId="18BFB5A2" w14:textId="77777777" w:rsidR="00E8126F" w:rsidRDefault="00653540">
      <w:pPr>
        <w:numPr>
          <w:ilvl w:val="0"/>
          <w:numId w:val="13"/>
        </w:numPr>
        <w:ind w:hanging="360"/>
        <w:contextualSpacing/>
      </w:pPr>
      <w:r>
        <w:t xml:space="preserve">Operational workflows to populate the infrastructure with data-literature links </w:t>
      </w:r>
    </w:p>
    <w:p w14:paraId="0DA7CD3D" w14:textId="77777777" w:rsidR="00E8126F" w:rsidRDefault="00653540">
      <w:pPr>
        <w:numPr>
          <w:ilvl w:val="0"/>
          <w:numId w:val="13"/>
        </w:numPr>
        <w:ind w:hanging="360"/>
        <w:contextualSpacing/>
      </w:pPr>
      <w:r>
        <w:t xml:space="preserve">Better understanding of current data-literature interlinking landscape viewed from the perspective of e.g. disciplines, publishers, repositories etc. </w:t>
      </w:r>
    </w:p>
    <w:p w14:paraId="79795847" w14:textId="77777777" w:rsidR="00E8126F" w:rsidRDefault="00E8126F"/>
    <w:p w14:paraId="3F3C81B2" w14:textId="77777777" w:rsidR="00E8126F" w:rsidRDefault="00653540">
      <w:r>
        <w:t xml:space="preserve">The working group follows on from the RDA/WDS Publishing Data Services WG, </w:t>
      </w:r>
      <w:hyperlink r:id="rId8">
        <w:r>
          <w:rPr>
            <w:color w:val="1155CC"/>
            <w:u w:val="single"/>
          </w:rPr>
          <w:t>https://rd-alliance.org/groups/rdawds-publishing-data-services-wg.html</w:t>
        </w:r>
      </w:hyperlink>
      <w:r>
        <w:t>.  The original working group established demonstrator services enabling infrastructure.  The follow on working group will support the “hardening” of that infrastructure and services as well as an increase in the number of participating hubs and services. The original working group established an interoperability framework. The follow on group will provide further specification, documentation and profiling of that framework to support adoption by link contributors and consumers.  The original working group established a consensus among large infrastructure providers and early adopters; the follow up group will extend that consensus to the next stage of adopters and to a more diverse set of infrastructure providers.  The original working group harnessed the energy and interest of specialists; the follow up group will provide support for a number of communities and services as they implement and adopt the framework and vision established in the original group.</w:t>
      </w:r>
    </w:p>
    <w:p w14:paraId="0F4864B5" w14:textId="77777777" w:rsidR="00E8126F" w:rsidRDefault="00653540">
      <w:r>
        <w:rPr>
          <w:i/>
        </w:rPr>
        <w:lastRenderedPageBreak/>
        <w:t>The working group believes a global system for linking data and literature should be:</w:t>
      </w:r>
      <w:r>
        <w:rPr>
          <w:i/>
          <w:vertAlign w:val="superscript"/>
        </w:rPr>
        <w:footnoteReference w:id="1"/>
      </w:r>
    </w:p>
    <w:p w14:paraId="674C1B77" w14:textId="77777777" w:rsidR="00E8126F" w:rsidRDefault="00653540">
      <w:pPr>
        <w:numPr>
          <w:ilvl w:val="0"/>
          <w:numId w:val="20"/>
        </w:numPr>
        <w:ind w:hanging="360"/>
        <w:contextualSpacing/>
        <w:rPr>
          <w:i/>
        </w:rPr>
      </w:pPr>
      <w:r>
        <w:rPr>
          <w:i/>
        </w:rPr>
        <w:t>Cross-disciplinary and global (built for, and aspiring to, comprehensiveness)</w:t>
      </w:r>
    </w:p>
    <w:p w14:paraId="6DC68868" w14:textId="77777777" w:rsidR="00E8126F" w:rsidRDefault="00653540">
      <w:pPr>
        <w:numPr>
          <w:ilvl w:val="0"/>
          <w:numId w:val="21"/>
        </w:numPr>
        <w:ind w:hanging="360"/>
        <w:contextualSpacing/>
        <w:rPr>
          <w:i/>
        </w:rPr>
      </w:pPr>
      <w:r>
        <w:rPr>
          <w:i/>
        </w:rPr>
        <w:t>Transparent with provenance allowing users to make trust and quality decisions</w:t>
      </w:r>
    </w:p>
    <w:p w14:paraId="746BF85C" w14:textId="77777777" w:rsidR="00E8126F" w:rsidRDefault="00653540">
      <w:pPr>
        <w:numPr>
          <w:ilvl w:val="0"/>
          <w:numId w:val="21"/>
        </w:numPr>
        <w:ind w:hanging="360"/>
        <w:contextualSpacing/>
        <w:rPr>
          <w:i/>
        </w:rPr>
      </w:pPr>
      <w:r>
        <w:rPr>
          <w:i/>
        </w:rPr>
        <w:t>Open and non-discriminatory in terms of content coverage and user access (this also means ranging from formal to informal, and from structured to non-structured content)</w:t>
      </w:r>
    </w:p>
    <w:p w14:paraId="6D23E7EA" w14:textId="77777777" w:rsidR="00E8126F" w:rsidRDefault="00653540">
      <w:pPr>
        <w:numPr>
          <w:ilvl w:val="0"/>
          <w:numId w:val="21"/>
        </w:numPr>
        <w:ind w:hanging="360"/>
        <w:contextualSpacing/>
        <w:rPr>
          <w:i/>
        </w:rPr>
      </w:pPr>
      <w:r>
        <w:rPr>
          <w:i/>
        </w:rPr>
        <w:t>Standards-based (content standards and exchange protocols)</w:t>
      </w:r>
    </w:p>
    <w:p w14:paraId="1584FE03" w14:textId="77777777" w:rsidR="00E8126F" w:rsidRDefault="00653540">
      <w:pPr>
        <w:numPr>
          <w:ilvl w:val="0"/>
          <w:numId w:val="21"/>
        </w:numPr>
        <w:ind w:hanging="360"/>
        <w:contextualSpacing/>
        <w:rPr>
          <w:i/>
        </w:rPr>
      </w:pPr>
      <w:r>
        <w:rPr>
          <w:i/>
        </w:rPr>
        <w:t>Participatory and adopted, including community buy-in</w:t>
      </w:r>
    </w:p>
    <w:p w14:paraId="2A117243" w14:textId="77777777" w:rsidR="00E8126F" w:rsidRDefault="00653540">
      <w:pPr>
        <w:numPr>
          <w:ilvl w:val="0"/>
          <w:numId w:val="21"/>
        </w:numPr>
        <w:ind w:hanging="360"/>
        <w:contextualSpacing/>
        <w:rPr>
          <w:i/>
        </w:rPr>
      </w:pPr>
      <w:r>
        <w:rPr>
          <w:i/>
        </w:rPr>
        <w:t>Sustainable</w:t>
      </w:r>
    </w:p>
    <w:p w14:paraId="7A593E84" w14:textId="77777777" w:rsidR="00E8126F" w:rsidRDefault="00653540">
      <w:pPr>
        <w:numPr>
          <w:ilvl w:val="0"/>
          <w:numId w:val="21"/>
        </w:numPr>
        <w:ind w:hanging="360"/>
        <w:contextualSpacing/>
        <w:rPr>
          <w:i/>
        </w:rPr>
      </w:pPr>
      <w:r>
        <w:rPr>
          <w:i/>
        </w:rPr>
        <w:t>An enabling infrastructure, on top of which services can be built (as opposed to a monolithic “one-stop-shop” solution).</w:t>
      </w:r>
    </w:p>
    <w:p w14:paraId="4CC04769" w14:textId="77777777" w:rsidR="00E8126F" w:rsidRDefault="00E8126F"/>
    <w:p w14:paraId="078071EC" w14:textId="77777777" w:rsidR="00E8126F" w:rsidRDefault="00653540">
      <w:pPr>
        <w:pStyle w:val="Heading1"/>
        <w:spacing w:before="160" w:after="160" w:line="384" w:lineRule="auto"/>
        <w:contextualSpacing w:val="0"/>
      </w:pPr>
      <w:bookmarkStart w:id="4" w:name="_5dy1vxkzfmjy" w:colFirst="0" w:colLast="0"/>
      <w:bookmarkEnd w:id="4"/>
      <w:r>
        <w:t>Value Proposition</w:t>
      </w:r>
    </w:p>
    <w:p w14:paraId="659F17FD" w14:textId="77777777" w:rsidR="00E8126F" w:rsidRDefault="00653540">
      <w:r>
        <w:t>The WG aims to oversee and guide the maturation of a distributed global system to collect, normalize, aggregate, store, and share links between research data and the literature. This will build upon the output of the preceding Data Publishing Services Working Group, which delivered a consensus vision and set of guidelines called the Scholix Framework, together with an operational system called the Data-Literature Interlinking (DLI) System, which puts these guidelines into practice as a pathfinder implementation. The WG proposed here will build out these assets into an operational infrastructure and service layer that is to become the de facto go-to place for organizations to deposit or retrieve links between research data and the literature.</w:t>
      </w:r>
    </w:p>
    <w:p w14:paraId="23683A06" w14:textId="77777777" w:rsidR="00E8126F" w:rsidRDefault="00E8126F"/>
    <w:p w14:paraId="7086CE58" w14:textId="77777777" w:rsidR="00E8126F" w:rsidRDefault="00653540">
      <w:r>
        <w:t>The value of such a system ultimately rests on the value of links between research data and the literature. The utility of such links is threefold (see also the Case Statement of the Data Publishing Services WG):</w:t>
      </w:r>
    </w:p>
    <w:p w14:paraId="7EA701D2" w14:textId="77777777" w:rsidR="00E8126F" w:rsidRDefault="00653540">
      <w:pPr>
        <w:numPr>
          <w:ilvl w:val="0"/>
          <w:numId w:val="2"/>
        </w:numPr>
        <w:ind w:hanging="360"/>
        <w:contextualSpacing/>
      </w:pPr>
      <w:r>
        <w:t xml:space="preserve">They improve the </w:t>
      </w:r>
      <w:r>
        <w:rPr>
          <w:u w:val="single"/>
        </w:rPr>
        <w:t>visibility and discoverability</w:t>
      </w:r>
      <w:r>
        <w:t xml:space="preserve"> of research data (and relevant literature), so that researchers can find relevant material more easily.</w:t>
      </w:r>
    </w:p>
    <w:p w14:paraId="67FDDF3B" w14:textId="77777777" w:rsidR="00E8126F" w:rsidRDefault="00653540">
      <w:pPr>
        <w:numPr>
          <w:ilvl w:val="0"/>
          <w:numId w:val="2"/>
        </w:numPr>
        <w:ind w:hanging="360"/>
        <w:contextualSpacing/>
      </w:pPr>
      <w:r>
        <w:t xml:space="preserve">They help place research data in the right context, so that researchers can </w:t>
      </w:r>
      <w:r>
        <w:rPr>
          <w:u w:val="single"/>
        </w:rPr>
        <w:t xml:space="preserve">re-use data </w:t>
      </w:r>
      <w:r>
        <w:t>more effectively.</w:t>
      </w:r>
    </w:p>
    <w:p w14:paraId="1169C3B6" w14:textId="77777777" w:rsidR="00E8126F" w:rsidRDefault="00653540">
      <w:pPr>
        <w:numPr>
          <w:ilvl w:val="0"/>
          <w:numId w:val="2"/>
        </w:numPr>
        <w:ind w:hanging="360"/>
        <w:contextualSpacing/>
      </w:pPr>
      <w:r>
        <w:t xml:space="preserve">They support </w:t>
      </w:r>
      <w:r>
        <w:rPr>
          <w:u w:val="single"/>
        </w:rPr>
        <w:t>credit attribution</w:t>
      </w:r>
      <w:r>
        <w:t xml:space="preserve"> mechanisms, which incentivize researchers to share their data in the first place.</w:t>
      </w:r>
    </w:p>
    <w:p w14:paraId="2185D876" w14:textId="77777777" w:rsidR="00E8126F" w:rsidRDefault="00E8126F"/>
    <w:p w14:paraId="26CDFB50" w14:textId="77777777" w:rsidR="00E8126F" w:rsidRDefault="00653540">
      <w:r>
        <w:t xml:space="preserve">These value elements are illustrated below, and in more detail in Annex A. </w:t>
      </w:r>
    </w:p>
    <w:p w14:paraId="472EFABD" w14:textId="77777777" w:rsidR="00E8126F" w:rsidRDefault="00653540">
      <w:r>
        <w:rPr>
          <w:noProof/>
        </w:rPr>
        <w:lastRenderedPageBreak/>
        <w:drawing>
          <wp:inline distT="114300" distB="114300" distL="114300" distR="114300" wp14:anchorId="2F0A9386" wp14:editId="43CA585E">
            <wp:extent cx="5943600" cy="3340100"/>
            <wp:effectExtent l="0" t="0" r="0" b="0"/>
            <wp:docPr id="1" name="image01.png" descr="Presentation1.png"/>
            <wp:cNvGraphicFramePr/>
            <a:graphic xmlns:a="http://schemas.openxmlformats.org/drawingml/2006/main">
              <a:graphicData uri="http://schemas.openxmlformats.org/drawingml/2006/picture">
                <pic:pic xmlns:pic="http://schemas.openxmlformats.org/drawingml/2006/picture">
                  <pic:nvPicPr>
                    <pic:cNvPr id="0" name="image01.png" descr="Presentation1.png"/>
                    <pic:cNvPicPr preferRelativeResize="0"/>
                  </pic:nvPicPr>
                  <pic:blipFill>
                    <a:blip r:embed="rId9"/>
                    <a:srcRect/>
                    <a:stretch>
                      <a:fillRect/>
                    </a:stretch>
                  </pic:blipFill>
                  <pic:spPr>
                    <a:xfrm>
                      <a:off x="0" y="0"/>
                      <a:ext cx="5943600" cy="3340100"/>
                    </a:xfrm>
                    <a:prstGeom prst="rect">
                      <a:avLst/>
                    </a:prstGeom>
                    <a:ln/>
                  </pic:spPr>
                </pic:pic>
              </a:graphicData>
            </a:graphic>
          </wp:inline>
        </w:drawing>
      </w:r>
    </w:p>
    <w:p w14:paraId="7055F3DB" w14:textId="77777777" w:rsidR="00E8126F" w:rsidRDefault="00653540">
      <w:r>
        <w:t>While there is broad support for the value and utility of data-literature links amongst the various stakeholders in research data publishing (including researchers as the ultimate end-users of this information), organizing the associated information space is not an easy feat: there are many disconnected sources with overlapping information, and there is a wide heterogeneity in practices today - both at a technical level (different PID systems, storage systems, etc.) and at a social level (different ways of referencing a data set in the literature, different moments in time to assert a link, etc.). As a consequence, the landscape today is incomplete and patchy, characterized by independent, many-to-many non-standard solutions - for example a bilateral arrangement between a journal publisher and a data center. This is both inefficient and limiting in the value that can be delivered to researchers.</w:t>
      </w:r>
    </w:p>
    <w:p w14:paraId="2C79188A" w14:textId="77777777" w:rsidR="00E8126F" w:rsidRDefault="00E8126F"/>
    <w:p w14:paraId="3CAF22E6" w14:textId="77777777" w:rsidR="00E8126F" w:rsidRDefault="00653540">
      <w:r>
        <w:t>The universal linking infrastructure which this WG strives to put in place represents a systemic change. It will offer an overarching, cohesive structure that binds together many of today’s practices into a common interoperability framework - which will ensure that links between research data and the literature can be easily shared, aggregated, and used on a global scale. This will drive a network effect, where the value in the system as a whole is greater than the sum of individual parts: for researchers as end-users, this value lies in the comprehensiveness and quality of link information; for service providers and infrastructure providers (including journal publishers and data centers), the value also lies in simplicity, efficiency, and reduction of friction in the process by being able to work with a single interface to deposit and retrieve links (and, potentially, the possibility to benefit from additional services developed on top of the core infrastructure).</w:t>
      </w:r>
    </w:p>
    <w:p w14:paraId="25DAB74F" w14:textId="77777777" w:rsidR="00E8126F" w:rsidRDefault="00E8126F"/>
    <w:p w14:paraId="52B71ECD" w14:textId="77777777" w:rsidR="00E8126F" w:rsidRDefault="00653540">
      <w:r>
        <w:rPr>
          <w:b/>
        </w:rPr>
        <w:t>Who will benefit and Impact</w:t>
      </w:r>
    </w:p>
    <w:p w14:paraId="562574CA" w14:textId="77777777" w:rsidR="00E8126F" w:rsidRDefault="00E8126F"/>
    <w:p w14:paraId="75FE4CCF" w14:textId="77777777" w:rsidR="00E8126F" w:rsidRDefault="00653540">
      <w:r>
        <w:lastRenderedPageBreak/>
        <w:t>Mapping the value proposition as described in the above to the various stakeholders and actors in research data publishing (copied largely from the Data Publishing Services WG Summary &amp; Recommendations), benefits and impact may be summarized as follows:</w:t>
      </w:r>
    </w:p>
    <w:p w14:paraId="37D5A2D3" w14:textId="77777777" w:rsidR="00E8126F" w:rsidRDefault="00653540">
      <w:pPr>
        <w:numPr>
          <w:ilvl w:val="0"/>
          <w:numId w:val="9"/>
        </w:numPr>
        <w:ind w:hanging="360"/>
        <w:contextualSpacing/>
      </w:pPr>
      <w:r>
        <w:t xml:space="preserve">For </w:t>
      </w:r>
      <w:r>
        <w:rPr>
          <w:b/>
        </w:rPr>
        <w:t>data repositories</w:t>
      </w:r>
      <w:r>
        <w:t xml:space="preserve"> and </w:t>
      </w:r>
      <w:r>
        <w:rPr>
          <w:b/>
        </w:rPr>
        <w:t>journal publishers</w:t>
      </w:r>
      <w:r>
        <w:t>: linking data and the literature will increase their visibility and usage, and can support additional services to improve the user experience on online platforms (for example, offering links to relevant data sets with articles, or offering links to the literature that will help place data in context). In contrast to the bilateral arrangements that we often see today between data centers and journal publishers, the global linking infrastructure will make the process of linking data sets and research literature a more robust, comprehensive, and scalable enterprise.</w:t>
      </w:r>
    </w:p>
    <w:p w14:paraId="19D45BC9" w14:textId="77777777" w:rsidR="00E8126F" w:rsidRDefault="00653540">
      <w:pPr>
        <w:numPr>
          <w:ilvl w:val="0"/>
          <w:numId w:val="9"/>
        </w:numPr>
        <w:ind w:hanging="360"/>
        <w:contextualSpacing/>
      </w:pPr>
      <w:r>
        <w:t xml:space="preserve">For </w:t>
      </w:r>
      <w:r>
        <w:rPr>
          <w:b/>
        </w:rPr>
        <w:t>research institutes, bibliographic service providers, and funding bodies</w:t>
      </w:r>
      <w:r>
        <w:t>: the infrastructure will enable advanced bibliographic services and productivity assessment tools that track datasets and journal publications within a common and comprehensive framework.</w:t>
      </w:r>
    </w:p>
    <w:p w14:paraId="02D1ED6A" w14:textId="77777777" w:rsidR="00E8126F" w:rsidRDefault="00653540">
      <w:pPr>
        <w:numPr>
          <w:ilvl w:val="0"/>
          <w:numId w:val="9"/>
        </w:numPr>
        <w:ind w:hanging="360"/>
        <w:contextualSpacing/>
      </w:pPr>
      <w:r>
        <w:t xml:space="preserve">For </w:t>
      </w:r>
      <w:r>
        <w:rPr>
          <w:b/>
        </w:rPr>
        <w:t>researchers</w:t>
      </w:r>
      <w:r>
        <w:t xml:space="preserve">: firstly, the infrastructure will make the processes of finding and accessing  relevant articles and data sets easier and more effective. Secondly  it will </w:t>
      </w:r>
      <w:r>
        <w:rPr>
          <w:highlight w:val="white"/>
        </w:rPr>
        <w:t xml:space="preserve">make it possible for researchers to track long-term impact of their data (and publications), thereby providing additional incentives to share data. </w:t>
      </w:r>
    </w:p>
    <w:p w14:paraId="4A8DA23F" w14:textId="77777777" w:rsidR="00E8126F" w:rsidRDefault="00E8126F"/>
    <w:p w14:paraId="36962135" w14:textId="77777777" w:rsidR="00E8126F" w:rsidRDefault="00E8126F"/>
    <w:p w14:paraId="3884C253" w14:textId="77777777" w:rsidR="00E8126F" w:rsidRDefault="00653540">
      <w:pPr>
        <w:pStyle w:val="Heading1"/>
        <w:spacing w:before="160" w:after="160" w:line="384" w:lineRule="auto"/>
        <w:contextualSpacing w:val="0"/>
      </w:pPr>
      <w:bookmarkStart w:id="5" w:name="_is4x9izdo8ks" w:colFirst="0" w:colLast="0"/>
      <w:bookmarkEnd w:id="5"/>
      <w:r>
        <w:t>Engagement with existing work in the area:</w:t>
      </w:r>
    </w:p>
    <w:p w14:paraId="581FBC59" w14:textId="77777777" w:rsidR="00E8126F" w:rsidRDefault="00653540">
      <w:pPr>
        <w:numPr>
          <w:ilvl w:val="0"/>
          <w:numId w:val="17"/>
        </w:numPr>
        <w:ind w:hanging="360"/>
        <w:contextualSpacing/>
      </w:pPr>
      <w:r>
        <w:t>Building upon previous work of the RDA/WDS Publishing Data Services WG</w:t>
      </w:r>
    </w:p>
    <w:p w14:paraId="54898623" w14:textId="77777777" w:rsidR="00E8126F" w:rsidRDefault="00653540">
      <w:pPr>
        <w:numPr>
          <w:ilvl w:val="0"/>
          <w:numId w:val="17"/>
        </w:numPr>
        <w:ind w:hanging="360"/>
        <w:contextualSpacing/>
      </w:pPr>
      <w:r>
        <w:t>RDA/WDS Publishing Data IG</w:t>
      </w:r>
    </w:p>
    <w:p w14:paraId="3AEBC475" w14:textId="77777777" w:rsidR="00E8126F" w:rsidRDefault="00653540">
      <w:pPr>
        <w:numPr>
          <w:ilvl w:val="1"/>
          <w:numId w:val="17"/>
        </w:numPr>
        <w:ind w:hanging="360"/>
        <w:contextualSpacing/>
      </w:pPr>
      <w:r>
        <w:t>RDA/WDS Publishing Data Bibliometrics WG</w:t>
      </w:r>
    </w:p>
    <w:p w14:paraId="01DC8AE2" w14:textId="77777777" w:rsidR="00E8126F" w:rsidRDefault="00653540">
      <w:pPr>
        <w:numPr>
          <w:ilvl w:val="1"/>
          <w:numId w:val="17"/>
        </w:numPr>
        <w:ind w:hanging="360"/>
        <w:contextualSpacing/>
      </w:pPr>
      <w:r>
        <w:t>RDA/WDS Publishing Data Workflows WG</w:t>
      </w:r>
    </w:p>
    <w:p w14:paraId="04C8B36E" w14:textId="77777777" w:rsidR="00E8126F" w:rsidRDefault="00653540">
      <w:pPr>
        <w:numPr>
          <w:ilvl w:val="0"/>
          <w:numId w:val="17"/>
        </w:numPr>
        <w:ind w:hanging="360"/>
        <w:contextualSpacing/>
      </w:pPr>
      <w:r>
        <w:t>Infrastructure providers</w:t>
      </w:r>
    </w:p>
    <w:p w14:paraId="229846B3" w14:textId="77777777" w:rsidR="00E8126F" w:rsidRDefault="00653540">
      <w:pPr>
        <w:numPr>
          <w:ilvl w:val="1"/>
          <w:numId w:val="17"/>
        </w:numPr>
        <w:ind w:hanging="360"/>
        <w:contextualSpacing/>
      </w:pPr>
      <w:r>
        <w:t xml:space="preserve">Crossref: </w:t>
      </w:r>
      <w:hyperlink r:id="rId10">
        <w:r>
          <w:rPr>
            <w:color w:val="1155CC"/>
            <w:u w:val="single"/>
          </w:rPr>
          <w:t>http://eventdata.crossref.org/guide/</w:t>
        </w:r>
      </w:hyperlink>
      <w:r>
        <w:t xml:space="preserve"> </w:t>
      </w:r>
    </w:p>
    <w:p w14:paraId="46DD134A" w14:textId="77777777" w:rsidR="00E8126F" w:rsidRDefault="00653540">
      <w:pPr>
        <w:numPr>
          <w:ilvl w:val="1"/>
          <w:numId w:val="17"/>
        </w:numPr>
        <w:ind w:hanging="360"/>
        <w:contextualSpacing/>
      </w:pPr>
      <w:r>
        <w:t xml:space="preserve">DataCite: </w:t>
      </w:r>
      <w:hyperlink r:id="rId11">
        <w:r>
          <w:rPr>
            <w:color w:val="1155CC"/>
            <w:u w:val="single"/>
          </w:rPr>
          <w:t>https://blog.datacite.org/its-all-about-relations/</w:t>
        </w:r>
      </w:hyperlink>
      <w:r>
        <w:t xml:space="preserve"> </w:t>
      </w:r>
    </w:p>
    <w:p w14:paraId="2A39D969" w14:textId="77777777" w:rsidR="00E8126F" w:rsidRDefault="00653540">
      <w:pPr>
        <w:numPr>
          <w:ilvl w:val="1"/>
          <w:numId w:val="17"/>
        </w:numPr>
        <w:ind w:hanging="360"/>
        <w:contextualSpacing/>
      </w:pPr>
      <w:r>
        <w:t xml:space="preserve">ICSU WDS: </w:t>
      </w:r>
      <w:hyperlink r:id="rId12">
        <w:r>
          <w:rPr>
            <w:color w:val="1155CC"/>
            <w:u w:val="single"/>
          </w:rPr>
          <w:t>https://www.icsu-wds.org/</w:t>
        </w:r>
      </w:hyperlink>
      <w:r>
        <w:t xml:space="preserve"> </w:t>
      </w:r>
    </w:p>
    <w:p w14:paraId="085652EF" w14:textId="77777777" w:rsidR="00E8126F" w:rsidRDefault="00653540">
      <w:pPr>
        <w:numPr>
          <w:ilvl w:val="1"/>
          <w:numId w:val="17"/>
        </w:numPr>
        <w:ind w:hanging="360"/>
        <w:contextualSpacing/>
      </w:pPr>
      <w:r>
        <w:t xml:space="preserve">ANDS: </w:t>
      </w:r>
      <w:hyperlink r:id="rId13">
        <w:r>
          <w:rPr>
            <w:color w:val="1155CC"/>
            <w:u w:val="single"/>
          </w:rPr>
          <w:t>http://rd-switchboard.net/</w:t>
        </w:r>
      </w:hyperlink>
      <w:r>
        <w:t xml:space="preserve"> </w:t>
      </w:r>
    </w:p>
    <w:p w14:paraId="72B860BB" w14:textId="77777777" w:rsidR="00E8126F" w:rsidRDefault="00653540">
      <w:pPr>
        <w:numPr>
          <w:ilvl w:val="1"/>
          <w:numId w:val="17"/>
        </w:numPr>
        <w:ind w:hanging="360"/>
        <w:contextualSpacing/>
      </w:pPr>
      <w:r>
        <w:t xml:space="preserve">Pangaea: </w:t>
      </w:r>
      <w:hyperlink r:id="rId14">
        <w:r>
          <w:rPr>
            <w:color w:val="1155CC"/>
            <w:u w:val="single"/>
          </w:rPr>
          <w:t>https://pangaea.de/</w:t>
        </w:r>
      </w:hyperlink>
      <w:r>
        <w:t xml:space="preserve"> </w:t>
      </w:r>
    </w:p>
    <w:p w14:paraId="2663D1D5" w14:textId="77777777" w:rsidR="00E8126F" w:rsidRDefault="00653540">
      <w:pPr>
        <w:numPr>
          <w:ilvl w:val="0"/>
          <w:numId w:val="17"/>
        </w:numPr>
        <w:ind w:hanging="360"/>
        <w:contextualSpacing/>
      </w:pPr>
      <w:r>
        <w:t>Infrastructure projects</w:t>
      </w:r>
    </w:p>
    <w:p w14:paraId="5E75A16F" w14:textId="77777777" w:rsidR="00E8126F" w:rsidRDefault="00653540">
      <w:pPr>
        <w:numPr>
          <w:ilvl w:val="1"/>
          <w:numId w:val="17"/>
        </w:numPr>
        <w:ind w:hanging="360"/>
        <w:contextualSpacing/>
      </w:pPr>
      <w:r>
        <w:t xml:space="preserve">OpenAIRE: </w:t>
      </w:r>
      <w:hyperlink r:id="rId15">
        <w:r>
          <w:rPr>
            <w:color w:val="1155CC"/>
            <w:u w:val="single"/>
          </w:rPr>
          <w:t>https://www.openaire.eu/</w:t>
        </w:r>
      </w:hyperlink>
      <w:r>
        <w:t xml:space="preserve"> </w:t>
      </w:r>
    </w:p>
    <w:p w14:paraId="61BEFCFC" w14:textId="77777777" w:rsidR="00E8126F" w:rsidRDefault="00653540">
      <w:pPr>
        <w:numPr>
          <w:ilvl w:val="1"/>
          <w:numId w:val="17"/>
        </w:numPr>
        <w:ind w:hanging="360"/>
        <w:contextualSpacing/>
      </w:pPr>
      <w:r>
        <w:t xml:space="preserve">THOR: </w:t>
      </w:r>
      <w:hyperlink r:id="rId16">
        <w:r>
          <w:rPr>
            <w:color w:val="1155CC"/>
            <w:u w:val="single"/>
          </w:rPr>
          <w:t>https://project-thor.eu/</w:t>
        </w:r>
      </w:hyperlink>
      <w:r>
        <w:t xml:space="preserve"> </w:t>
      </w:r>
    </w:p>
    <w:p w14:paraId="76FC2B55" w14:textId="77777777" w:rsidR="00E8126F" w:rsidRDefault="00653540">
      <w:pPr>
        <w:numPr>
          <w:ilvl w:val="0"/>
          <w:numId w:val="17"/>
        </w:numPr>
        <w:ind w:hanging="360"/>
        <w:contextualSpacing/>
      </w:pPr>
      <w:r>
        <w:t>Related projects</w:t>
      </w:r>
    </w:p>
    <w:p w14:paraId="43174946" w14:textId="77777777" w:rsidR="00E8126F" w:rsidRDefault="00653540">
      <w:pPr>
        <w:numPr>
          <w:ilvl w:val="1"/>
          <w:numId w:val="17"/>
        </w:numPr>
        <w:ind w:hanging="360"/>
        <w:contextualSpacing/>
      </w:pPr>
      <w:r>
        <w:t xml:space="preserve">RMAP: </w:t>
      </w:r>
      <w:hyperlink r:id="rId17">
        <w:r>
          <w:rPr>
            <w:color w:val="1155CC"/>
            <w:u w:val="single"/>
          </w:rPr>
          <w:t>http://rmap-project.info/rmap/</w:t>
        </w:r>
      </w:hyperlink>
      <w:r>
        <w:t xml:space="preserve"> </w:t>
      </w:r>
    </w:p>
    <w:p w14:paraId="6F62E3C2" w14:textId="77777777" w:rsidR="00E8126F" w:rsidRDefault="00653540">
      <w:pPr>
        <w:numPr>
          <w:ilvl w:val="1"/>
          <w:numId w:val="17"/>
        </w:numPr>
        <w:ind w:hanging="360"/>
        <w:contextualSpacing/>
      </w:pPr>
      <w:r>
        <w:t xml:space="preserve">Making Data Count (MDC): </w:t>
      </w:r>
      <w:hyperlink r:id="rId18">
        <w:r>
          <w:rPr>
            <w:color w:val="1155CC"/>
            <w:u w:val="single"/>
          </w:rPr>
          <w:t>http://mdc.lagotto.io/</w:t>
        </w:r>
      </w:hyperlink>
      <w:r>
        <w:t xml:space="preserve"> </w:t>
      </w:r>
    </w:p>
    <w:p w14:paraId="3FC887CE" w14:textId="77777777" w:rsidR="00E8126F" w:rsidRDefault="00653540">
      <w:pPr>
        <w:numPr>
          <w:ilvl w:val="1"/>
          <w:numId w:val="17"/>
        </w:numPr>
        <w:ind w:hanging="360"/>
        <w:contextualSpacing/>
      </w:pPr>
      <w:r>
        <w:t xml:space="preserve">Force11 Data Citation Implementation Pilot (DCIP): </w:t>
      </w:r>
      <w:hyperlink r:id="rId19">
        <w:r>
          <w:rPr>
            <w:color w:val="1155CC"/>
            <w:u w:val="single"/>
          </w:rPr>
          <w:t>https://www.force11.org/group/dcip</w:t>
        </w:r>
      </w:hyperlink>
    </w:p>
    <w:p w14:paraId="0B0ECD45" w14:textId="77777777" w:rsidR="00E8126F" w:rsidRDefault="00653540">
      <w:pPr>
        <w:numPr>
          <w:ilvl w:val="1"/>
          <w:numId w:val="17"/>
        </w:numPr>
        <w:ind w:hanging="360"/>
        <w:contextualSpacing/>
      </w:pPr>
      <w:r>
        <w:t>FAIR data (</w:t>
      </w:r>
      <w:hyperlink r:id="rId20">
        <w:r>
          <w:rPr>
            <w:color w:val="1155CC"/>
            <w:u w:val="single"/>
          </w:rPr>
          <w:t>http://www.nature.com/articles/sdata201618</w:t>
        </w:r>
      </w:hyperlink>
      <w:r>
        <w:t>)</w:t>
      </w:r>
    </w:p>
    <w:p w14:paraId="51E584F7" w14:textId="77777777" w:rsidR="00E8126F" w:rsidRDefault="00653540">
      <w:pPr>
        <w:numPr>
          <w:ilvl w:val="0"/>
          <w:numId w:val="17"/>
        </w:numPr>
        <w:ind w:hanging="360"/>
        <w:contextualSpacing/>
      </w:pPr>
      <w:r>
        <w:t>Data Center Community</w:t>
      </w:r>
    </w:p>
    <w:p w14:paraId="6D2ADAB5" w14:textId="77777777" w:rsidR="00E8126F" w:rsidRDefault="00653540">
      <w:pPr>
        <w:numPr>
          <w:ilvl w:val="1"/>
          <w:numId w:val="17"/>
        </w:numPr>
        <w:ind w:hanging="360"/>
        <w:contextualSpacing/>
      </w:pPr>
      <w:r>
        <w:t>ICSU WDS</w:t>
      </w:r>
    </w:p>
    <w:p w14:paraId="20154FEF" w14:textId="77777777" w:rsidR="00E8126F" w:rsidRDefault="00653540">
      <w:pPr>
        <w:numPr>
          <w:ilvl w:val="1"/>
          <w:numId w:val="17"/>
        </w:numPr>
        <w:ind w:hanging="360"/>
        <w:contextualSpacing/>
      </w:pPr>
      <w:r>
        <w:lastRenderedPageBreak/>
        <w:t>DataCite</w:t>
      </w:r>
    </w:p>
    <w:p w14:paraId="6CA8592A" w14:textId="77777777" w:rsidR="00E8126F" w:rsidRDefault="00653540">
      <w:pPr>
        <w:numPr>
          <w:ilvl w:val="0"/>
          <w:numId w:val="17"/>
        </w:numPr>
        <w:ind w:hanging="360"/>
        <w:contextualSpacing/>
      </w:pPr>
      <w:r>
        <w:t>Publisher Community</w:t>
      </w:r>
    </w:p>
    <w:p w14:paraId="11719C31" w14:textId="77777777" w:rsidR="00E8126F" w:rsidRDefault="00653540">
      <w:pPr>
        <w:numPr>
          <w:ilvl w:val="1"/>
          <w:numId w:val="17"/>
        </w:numPr>
        <w:ind w:hanging="360"/>
        <w:contextualSpacing/>
      </w:pPr>
      <w:r>
        <w:t>Crossref</w:t>
      </w:r>
    </w:p>
    <w:p w14:paraId="4E81C80F" w14:textId="77777777" w:rsidR="00E8126F" w:rsidRDefault="00653540">
      <w:pPr>
        <w:numPr>
          <w:ilvl w:val="1"/>
          <w:numId w:val="17"/>
        </w:numPr>
        <w:ind w:hanging="360"/>
        <w:contextualSpacing/>
      </w:pPr>
      <w:r>
        <w:t xml:space="preserve">STM Association: </w:t>
      </w:r>
      <w:hyperlink r:id="rId21">
        <w:r>
          <w:rPr>
            <w:color w:val="1155CC"/>
            <w:u w:val="single"/>
          </w:rPr>
          <w:t>http://www.stm-assoc.org/</w:t>
        </w:r>
      </w:hyperlink>
    </w:p>
    <w:p w14:paraId="63E4D37E" w14:textId="77777777" w:rsidR="00E8126F" w:rsidRDefault="00653540">
      <w:pPr>
        <w:numPr>
          <w:ilvl w:val="1"/>
          <w:numId w:val="17"/>
        </w:numPr>
        <w:ind w:hanging="360"/>
        <w:contextualSpacing/>
        <w:rPr>
          <w:sz w:val="21"/>
          <w:szCs w:val="21"/>
          <w:highlight w:val="white"/>
        </w:rPr>
      </w:pPr>
      <w:r>
        <w:rPr>
          <w:sz w:val="21"/>
          <w:szCs w:val="21"/>
          <w:highlight w:val="white"/>
        </w:rPr>
        <w:t>CHORUS</w:t>
      </w:r>
    </w:p>
    <w:p w14:paraId="5C928621" w14:textId="77777777" w:rsidR="00E8126F" w:rsidRDefault="00653540">
      <w:pPr>
        <w:numPr>
          <w:ilvl w:val="0"/>
          <w:numId w:val="17"/>
        </w:numPr>
        <w:ind w:hanging="360"/>
        <w:contextualSpacing/>
        <w:rPr>
          <w:sz w:val="21"/>
          <w:szCs w:val="21"/>
          <w:highlight w:val="white"/>
        </w:rPr>
      </w:pPr>
      <w:r>
        <w:rPr>
          <w:sz w:val="21"/>
          <w:szCs w:val="21"/>
          <w:highlight w:val="white"/>
        </w:rPr>
        <w:t>Institutional Repository Community</w:t>
      </w:r>
    </w:p>
    <w:p w14:paraId="7C307567" w14:textId="77777777" w:rsidR="00E8126F" w:rsidRDefault="00653540">
      <w:pPr>
        <w:numPr>
          <w:ilvl w:val="1"/>
          <w:numId w:val="17"/>
        </w:numPr>
        <w:ind w:hanging="360"/>
        <w:contextualSpacing/>
        <w:rPr>
          <w:sz w:val="21"/>
          <w:szCs w:val="21"/>
          <w:highlight w:val="white"/>
        </w:rPr>
      </w:pPr>
      <w:r>
        <w:rPr>
          <w:sz w:val="21"/>
          <w:szCs w:val="21"/>
          <w:highlight w:val="white"/>
        </w:rPr>
        <w:t>OpenAIRE</w:t>
      </w:r>
    </w:p>
    <w:p w14:paraId="6A14F351" w14:textId="77777777" w:rsidR="00E8126F" w:rsidRDefault="00653540">
      <w:pPr>
        <w:numPr>
          <w:ilvl w:val="1"/>
          <w:numId w:val="17"/>
        </w:numPr>
        <w:ind w:hanging="360"/>
        <w:contextualSpacing/>
        <w:rPr>
          <w:sz w:val="21"/>
          <w:szCs w:val="21"/>
          <w:highlight w:val="white"/>
        </w:rPr>
      </w:pPr>
      <w:r>
        <w:rPr>
          <w:sz w:val="21"/>
          <w:szCs w:val="21"/>
          <w:highlight w:val="white"/>
        </w:rPr>
        <w:t>SHARE</w:t>
      </w:r>
    </w:p>
    <w:p w14:paraId="40C750DA" w14:textId="77777777" w:rsidR="00E8126F" w:rsidRDefault="00653540">
      <w:pPr>
        <w:numPr>
          <w:ilvl w:val="0"/>
          <w:numId w:val="17"/>
        </w:numPr>
        <w:ind w:hanging="360"/>
        <w:contextualSpacing/>
        <w:rPr>
          <w:sz w:val="21"/>
          <w:szCs w:val="21"/>
          <w:highlight w:val="white"/>
        </w:rPr>
      </w:pPr>
      <w:r>
        <w:rPr>
          <w:sz w:val="21"/>
          <w:szCs w:val="21"/>
          <w:highlight w:val="white"/>
        </w:rPr>
        <w:t>Discipline-specific Communities</w:t>
      </w:r>
    </w:p>
    <w:p w14:paraId="3975A0A6" w14:textId="77777777" w:rsidR="00E8126F" w:rsidRDefault="00653540">
      <w:pPr>
        <w:numPr>
          <w:ilvl w:val="1"/>
          <w:numId w:val="17"/>
        </w:numPr>
        <w:ind w:hanging="360"/>
        <w:contextualSpacing/>
        <w:rPr>
          <w:sz w:val="21"/>
          <w:szCs w:val="21"/>
          <w:highlight w:val="white"/>
        </w:rPr>
      </w:pPr>
      <w:r>
        <w:rPr>
          <w:sz w:val="21"/>
          <w:szCs w:val="21"/>
          <w:highlight w:val="white"/>
        </w:rPr>
        <w:t>Pangaea (Earth and Environmental Science)</w:t>
      </w:r>
    </w:p>
    <w:p w14:paraId="70A0D7E5" w14:textId="77777777" w:rsidR="00E8126F" w:rsidRDefault="00653540">
      <w:pPr>
        <w:numPr>
          <w:ilvl w:val="1"/>
          <w:numId w:val="17"/>
        </w:numPr>
        <w:ind w:hanging="360"/>
        <w:contextualSpacing/>
        <w:rPr>
          <w:sz w:val="21"/>
          <w:szCs w:val="21"/>
          <w:highlight w:val="white"/>
        </w:rPr>
      </w:pPr>
      <w:r>
        <w:rPr>
          <w:sz w:val="21"/>
          <w:szCs w:val="21"/>
          <w:highlight w:val="white"/>
        </w:rPr>
        <w:t>EBI-EMBL (Life Sciences)</w:t>
      </w:r>
    </w:p>
    <w:p w14:paraId="658752FE" w14:textId="77777777" w:rsidR="00E8126F" w:rsidRDefault="00653540">
      <w:pPr>
        <w:numPr>
          <w:ilvl w:val="1"/>
          <w:numId w:val="17"/>
        </w:numPr>
        <w:ind w:hanging="360"/>
        <w:contextualSpacing/>
        <w:rPr>
          <w:sz w:val="21"/>
          <w:szCs w:val="21"/>
          <w:highlight w:val="white"/>
        </w:rPr>
      </w:pPr>
      <w:r>
        <w:rPr>
          <w:sz w:val="21"/>
          <w:szCs w:val="21"/>
          <w:highlight w:val="white"/>
        </w:rPr>
        <w:t>ICPSR (Social Sciences)</w:t>
      </w:r>
    </w:p>
    <w:p w14:paraId="1387BC35" w14:textId="77777777" w:rsidR="00E8126F" w:rsidRDefault="00653540">
      <w:pPr>
        <w:numPr>
          <w:ilvl w:val="1"/>
          <w:numId w:val="17"/>
        </w:numPr>
        <w:ind w:hanging="360"/>
        <w:contextualSpacing/>
        <w:rPr>
          <w:sz w:val="21"/>
          <w:szCs w:val="21"/>
          <w:highlight w:val="white"/>
        </w:rPr>
      </w:pPr>
      <w:r>
        <w:rPr>
          <w:sz w:val="21"/>
          <w:szCs w:val="21"/>
          <w:highlight w:val="white"/>
        </w:rPr>
        <w:t>CERN (High Energy Physics)</w:t>
      </w:r>
    </w:p>
    <w:p w14:paraId="594C003D" w14:textId="77777777" w:rsidR="00E8126F" w:rsidRDefault="00653540">
      <w:pPr>
        <w:pStyle w:val="Heading1"/>
        <w:spacing w:before="160" w:after="160" w:line="384" w:lineRule="auto"/>
        <w:contextualSpacing w:val="0"/>
      </w:pPr>
      <w:bookmarkStart w:id="6" w:name="_2fo3ac6cfi9n" w:colFirst="0" w:colLast="0"/>
      <w:bookmarkEnd w:id="6"/>
      <w:r>
        <w:t>Adoption Plan:</w:t>
      </w:r>
    </w:p>
    <w:p w14:paraId="53B20CD6" w14:textId="77777777" w:rsidR="00E8126F" w:rsidRDefault="00653540">
      <w:r>
        <w:t>The Adoption Plan for this Working Group is quite mature since it builds on a previous working group, includes adopter work packages, includes outreach and documentation work packages, targets new hubs, and focuses on benefit realisation.</w:t>
      </w:r>
    </w:p>
    <w:p w14:paraId="70A33E10" w14:textId="77777777" w:rsidR="00E8126F" w:rsidRDefault="00E8126F"/>
    <w:p w14:paraId="4190E13A" w14:textId="77777777" w:rsidR="00E8126F" w:rsidRDefault="00653540">
      <w:r>
        <w:rPr>
          <w:b/>
        </w:rPr>
        <w:t xml:space="preserve">Previous Working Group:  </w:t>
      </w:r>
      <w:r>
        <w:t>The proposed working group builds directly on the Data Publishing Services Working Group which has a considerable membership with an active core of contributors. The WG is representative of publishers, data centres, research organisations and research information infrastructure services who are the key stakeholder and adopter communities. The existing momentum and buy-in of this group will be leveraged for adoption.</w:t>
      </w:r>
    </w:p>
    <w:p w14:paraId="6E1D39D2" w14:textId="77777777" w:rsidR="00E8126F" w:rsidRDefault="00E8126F"/>
    <w:p w14:paraId="72401FA0" w14:textId="77777777" w:rsidR="00E8126F" w:rsidRDefault="00653540">
      <w:r>
        <w:rPr>
          <w:b/>
        </w:rPr>
        <w:t>Technical Development of Hubs:</w:t>
      </w:r>
      <w:r>
        <w:t xml:space="preserve"> In a similar vein, the WG activity plan includes targeted activity to extend existing hubs (CrossRef, DataCite, OpenAire, RMap) and establish new hubs in new community areas (such as Astronomy, Life Sciences).</w:t>
      </w:r>
    </w:p>
    <w:p w14:paraId="210A4486" w14:textId="77777777" w:rsidR="00E8126F" w:rsidRDefault="00E8126F"/>
    <w:p w14:paraId="21F384D9" w14:textId="77777777" w:rsidR="00E8126F" w:rsidRDefault="00653540">
      <w:r>
        <w:rPr>
          <w:b/>
        </w:rPr>
        <w:t xml:space="preserve">Implementation Sub Projects: </w:t>
      </w:r>
      <w:r>
        <w:t>The working group case statement “Activities” section provides details of a number of adoption sub projects.  The Scholix framework that underpins the WG approach involves content publishers (eg journal publishers or data centres) communicating with natural hubs (eg CrossRef and DataCite). This WG activity plan includes implementation projects from publisher to hub.</w:t>
      </w:r>
    </w:p>
    <w:p w14:paraId="163C4D34" w14:textId="77777777" w:rsidR="00E8126F" w:rsidRDefault="00E8126F"/>
    <w:p w14:paraId="226A8B99" w14:textId="77777777" w:rsidR="00E8126F" w:rsidRDefault="00653540">
      <w:r>
        <w:rPr>
          <w:b/>
        </w:rPr>
        <w:t>Documentation and Support Materials:</w:t>
      </w:r>
      <w:r>
        <w:t xml:space="preserve"> The WG activity plan includes an extension of the Scholix framework by providing documentation of instantiation of the abstract Scholix information model in various technologies or formats (such as xml, rdf, json) and using a number of common protocols (such as open api calls, sparql, oai-pmh, resourceSync). These specification and implementation materials will also be the product of the development and adoption projects described above.</w:t>
      </w:r>
    </w:p>
    <w:p w14:paraId="6C7A3FE6" w14:textId="77777777" w:rsidR="00E8126F" w:rsidRDefault="00E8126F"/>
    <w:p w14:paraId="28F25A29" w14:textId="77777777" w:rsidR="00E8126F" w:rsidRDefault="00653540">
      <w:r>
        <w:rPr>
          <w:b/>
        </w:rPr>
        <w:lastRenderedPageBreak/>
        <w:t>Outreach, Liaison, Collaboration:</w:t>
      </w:r>
      <w:r>
        <w:t xml:space="preserve">  This Working Group focuses on a technical solution to the exchange and aggregation of data-literature link information.  Other peak bodies and advocacy groups focus on changing practice and integrating data citation as part of scientific practice.  The WG work plan includes collaboration with those organisations to leverage their established agendas.  Current members of the WG include leaders in these organisations and further such activity is slated in that area of the work plan.</w:t>
      </w:r>
    </w:p>
    <w:p w14:paraId="74799741" w14:textId="77777777" w:rsidR="00E8126F" w:rsidRDefault="00E8126F"/>
    <w:p w14:paraId="77AC99F0" w14:textId="77777777" w:rsidR="00E8126F" w:rsidRDefault="00653540">
      <w:r>
        <w:rPr>
          <w:b/>
        </w:rPr>
        <w:t>Benefit realisation:</w:t>
      </w:r>
      <w:r>
        <w:t xml:space="preserve"> The sustainable driver of adoption is benefit for the adopter.  The overall work plan is underpinned by the objective of delivering benefits to end users, as outlined in the use cases of the Annex A.</w:t>
      </w:r>
    </w:p>
    <w:p w14:paraId="339A79CF" w14:textId="77777777" w:rsidR="00E8126F" w:rsidRDefault="00E8126F"/>
    <w:p w14:paraId="483FCA26" w14:textId="77777777" w:rsidR="00E8126F" w:rsidRDefault="00653540">
      <w:pPr>
        <w:pStyle w:val="Heading1"/>
        <w:spacing w:before="160" w:after="160" w:line="384" w:lineRule="auto"/>
        <w:contextualSpacing w:val="0"/>
      </w:pPr>
      <w:bookmarkStart w:id="7" w:name="_b50um3opfbyn" w:colFirst="0" w:colLast="0"/>
      <w:bookmarkEnd w:id="7"/>
      <w:r>
        <w:t xml:space="preserve">Work Plan: </w:t>
      </w:r>
    </w:p>
    <w:p w14:paraId="523AE660" w14:textId="77777777" w:rsidR="00E8126F" w:rsidRDefault="00653540">
      <w:r>
        <w:t>The work plan will be implemented through a set of interconnected activities outlined below. Categories exist only for planning and pragmatic purposes; they are not at all independent and activities will not be siloed.  Cross-category contributions by working group members will be the norm.</w:t>
      </w:r>
    </w:p>
    <w:p w14:paraId="38A4D129" w14:textId="77777777" w:rsidR="00E8126F" w:rsidRDefault="00653540">
      <w:pPr>
        <w:pStyle w:val="Heading3"/>
        <w:contextualSpacing w:val="0"/>
      </w:pPr>
      <w:bookmarkStart w:id="8" w:name="_jyeswjx86rci" w:colFirst="0" w:colLast="0"/>
      <w:bookmarkEnd w:id="8"/>
      <w:r>
        <w:t xml:space="preserve">Stream 1.Technical Development. </w:t>
      </w:r>
    </w:p>
    <w:p w14:paraId="25F8D508" w14:textId="77777777" w:rsidR="00E8126F" w:rsidRDefault="00653540">
      <w:r>
        <w:t>The objective of this stream to put the Scholix framework into practice such that both hubs and services develop operational functionality.</w:t>
      </w:r>
    </w:p>
    <w:p w14:paraId="56116427" w14:textId="77777777" w:rsidR="00E8126F" w:rsidRDefault="00653540">
      <w:r>
        <w:rPr>
          <w:b/>
        </w:rPr>
        <w:t>A. Develop Hubs</w:t>
      </w:r>
    </w:p>
    <w:p w14:paraId="743C1A9C" w14:textId="77777777" w:rsidR="00E8126F" w:rsidRDefault="00653540">
      <w:pPr>
        <w:numPr>
          <w:ilvl w:val="0"/>
          <w:numId w:val="7"/>
        </w:numPr>
        <w:ind w:hanging="360"/>
        <w:contextualSpacing/>
      </w:pPr>
      <w:r>
        <w:t>OpenAIRE</w:t>
      </w:r>
    </w:p>
    <w:p w14:paraId="40D5C8D6" w14:textId="77777777" w:rsidR="00E8126F" w:rsidRDefault="00653540">
      <w:pPr>
        <w:numPr>
          <w:ilvl w:val="1"/>
          <w:numId w:val="7"/>
        </w:numPr>
        <w:ind w:hanging="360"/>
        <w:contextualSpacing/>
      </w:pPr>
      <w:r>
        <w:t>Make OpenAIRE APIs compatible with Scholix to export and import links to and from DLI Service</w:t>
      </w:r>
    </w:p>
    <w:p w14:paraId="64867E73" w14:textId="77777777" w:rsidR="00E8126F" w:rsidRDefault="00653540">
      <w:pPr>
        <w:numPr>
          <w:ilvl w:val="0"/>
          <w:numId w:val="7"/>
        </w:numPr>
        <w:ind w:hanging="360"/>
        <w:contextualSpacing/>
      </w:pPr>
      <w:r>
        <w:t>DataCite</w:t>
      </w:r>
    </w:p>
    <w:p w14:paraId="16ADF146" w14:textId="77777777" w:rsidR="00E8126F" w:rsidRDefault="00653540">
      <w:pPr>
        <w:numPr>
          <w:ilvl w:val="1"/>
          <w:numId w:val="7"/>
        </w:numPr>
        <w:ind w:hanging="360"/>
        <w:contextualSpacing/>
      </w:pPr>
      <w:r>
        <w:t>Further develop standardised interfaces for query and export</w:t>
      </w:r>
    </w:p>
    <w:p w14:paraId="2A0DC8B2" w14:textId="77777777" w:rsidR="00E8126F" w:rsidRDefault="00653540">
      <w:pPr>
        <w:numPr>
          <w:ilvl w:val="0"/>
          <w:numId w:val="7"/>
        </w:numPr>
        <w:ind w:hanging="360"/>
        <w:contextualSpacing/>
      </w:pPr>
      <w:r>
        <w:t>CrossRef</w:t>
      </w:r>
    </w:p>
    <w:p w14:paraId="6DD92C54" w14:textId="77777777" w:rsidR="00E8126F" w:rsidRDefault="00653540">
      <w:pPr>
        <w:numPr>
          <w:ilvl w:val="1"/>
          <w:numId w:val="7"/>
        </w:numPr>
        <w:ind w:hanging="360"/>
        <w:contextualSpacing/>
      </w:pPr>
      <w:r>
        <w:t xml:space="preserve">Further develop standardised interfaces for query and export </w:t>
      </w:r>
    </w:p>
    <w:p w14:paraId="3F868049" w14:textId="77777777" w:rsidR="00E8126F" w:rsidRDefault="00653540">
      <w:pPr>
        <w:numPr>
          <w:ilvl w:val="0"/>
          <w:numId w:val="7"/>
        </w:numPr>
        <w:ind w:hanging="360"/>
        <w:contextualSpacing/>
      </w:pPr>
      <w:r>
        <w:t>New domain-specific hubs, e.g. EMBL/EBI  (TBC by opportunity)</w:t>
      </w:r>
    </w:p>
    <w:p w14:paraId="25F44E68" w14:textId="77777777" w:rsidR="00E8126F" w:rsidRDefault="00653540">
      <w:pPr>
        <w:numPr>
          <w:ilvl w:val="0"/>
          <w:numId w:val="7"/>
        </w:numPr>
        <w:ind w:hanging="360"/>
        <w:contextualSpacing/>
      </w:pPr>
      <w:r>
        <w:t>Interim hubs (direct feed to DLI): standardisation (using Scholix framework) of feeds from previous working group and improvement of dynamic currency of feeds</w:t>
      </w:r>
    </w:p>
    <w:p w14:paraId="2870B61D" w14:textId="77777777" w:rsidR="00E8126F" w:rsidRDefault="00653540">
      <w:pPr>
        <w:numPr>
          <w:ilvl w:val="1"/>
          <w:numId w:val="7"/>
        </w:numPr>
        <w:ind w:hanging="360"/>
        <w:contextualSpacing/>
      </w:pPr>
      <w:r>
        <w:t>ANDS to DLI direct (only non-DOI content)</w:t>
      </w:r>
    </w:p>
    <w:p w14:paraId="07073135" w14:textId="77777777" w:rsidR="00E8126F" w:rsidRDefault="00653540">
      <w:pPr>
        <w:numPr>
          <w:ilvl w:val="1"/>
          <w:numId w:val="7"/>
        </w:numPr>
        <w:ind w:hanging="360"/>
        <w:contextualSpacing/>
      </w:pPr>
      <w:r>
        <w:t>...</w:t>
      </w:r>
    </w:p>
    <w:p w14:paraId="39F77A59" w14:textId="77777777" w:rsidR="00E8126F" w:rsidRDefault="00653540">
      <w:pPr>
        <w:numPr>
          <w:ilvl w:val="0"/>
          <w:numId w:val="7"/>
        </w:numPr>
        <w:ind w:hanging="360"/>
        <w:contextualSpacing/>
      </w:pPr>
      <w:r>
        <w:t>Further interoperation of the hubs (extensions to the Scholix conceptual framework during the course of the working group)</w:t>
      </w:r>
    </w:p>
    <w:p w14:paraId="661D75BB" w14:textId="77777777" w:rsidR="00E8126F" w:rsidRDefault="00653540">
      <w:r>
        <w:rPr>
          <w:b/>
        </w:rPr>
        <w:t>B. Develop Services</w:t>
      </w:r>
      <w:r>
        <w:t xml:space="preserve"> (in relation to the user scenarios defined in previous WG)</w:t>
      </w:r>
    </w:p>
    <w:p w14:paraId="133A7921" w14:textId="77777777" w:rsidR="00E8126F" w:rsidRDefault="00653540">
      <w:pPr>
        <w:numPr>
          <w:ilvl w:val="0"/>
          <w:numId w:val="10"/>
        </w:numPr>
        <w:ind w:hanging="360"/>
        <w:contextualSpacing/>
      </w:pPr>
      <w:r>
        <w:t xml:space="preserve">DLI aggregation service </w:t>
      </w:r>
      <w:hyperlink r:id="rId22" w:anchor="/">
        <w:r>
          <w:rPr>
            <w:color w:val="1155CC"/>
            <w:u w:val="single"/>
          </w:rPr>
          <w:t>https://dliservice.research-infrastructures.eu/#/</w:t>
        </w:r>
      </w:hyperlink>
    </w:p>
    <w:p w14:paraId="45459392" w14:textId="77777777" w:rsidR="00E8126F" w:rsidRDefault="00653540">
      <w:pPr>
        <w:numPr>
          <w:ilvl w:val="1"/>
          <w:numId w:val="10"/>
        </w:numPr>
        <w:ind w:hanging="360"/>
        <w:contextualSpacing/>
      </w:pPr>
      <w:r>
        <w:t xml:space="preserve">Transition to production at OpenAIRE data centre and infrastructure </w:t>
      </w:r>
    </w:p>
    <w:p w14:paraId="193B24CE" w14:textId="77777777" w:rsidR="00E8126F" w:rsidRDefault="00653540">
      <w:pPr>
        <w:numPr>
          <w:ilvl w:val="1"/>
          <w:numId w:val="10"/>
        </w:numPr>
        <w:ind w:hanging="360"/>
        <w:contextualSpacing/>
      </w:pPr>
      <w:r>
        <w:t>APIs for PID resolution (Scholix conformant) - Pangaea</w:t>
      </w:r>
    </w:p>
    <w:p w14:paraId="0CFFA15F" w14:textId="77777777" w:rsidR="00E8126F" w:rsidRDefault="00653540">
      <w:pPr>
        <w:numPr>
          <w:ilvl w:val="1"/>
          <w:numId w:val="10"/>
        </w:numPr>
        <w:ind w:hanging="360"/>
        <w:contextualSpacing/>
      </w:pPr>
      <w:r>
        <w:t>Improving quality: e.g. de-duplication of objects (datasets and literature)</w:t>
      </w:r>
    </w:p>
    <w:p w14:paraId="45DE6545" w14:textId="77777777" w:rsidR="00E8126F" w:rsidRDefault="00653540">
      <w:pPr>
        <w:numPr>
          <w:ilvl w:val="1"/>
          <w:numId w:val="10"/>
        </w:numPr>
        <w:ind w:hanging="360"/>
        <w:contextualSpacing/>
      </w:pPr>
      <w:r>
        <w:t xml:space="preserve">Improving service level: live updates of links </w:t>
      </w:r>
    </w:p>
    <w:p w14:paraId="7FDFE4E6" w14:textId="77777777" w:rsidR="00E8126F" w:rsidRDefault="00653540">
      <w:pPr>
        <w:numPr>
          <w:ilvl w:val="0"/>
          <w:numId w:val="10"/>
        </w:numPr>
        <w:ind w:hanging="360"/>
        <w:contextualSpacing/>
      </w:pPr>
      <w:r>
        <w:lastRenderedPageBreak/>
        <w:t>Use of the Scholix framework to access and expose links between articles and data in exemplar end-user services</w:t>
      </w:r>
    </w:p>
    <w:p w14:paraId="4B5D4DC8" w14:textId="77777777" w:rsidR="00E8126F" w:rsidRDefault="00653540">
      <w:pPr>
        <w:numPr>
          <w:ilvl w:val="1"/>
          <w:numId w:val="10"/>
        </w:numPr>
        <w:ind w:hanging="360"/>
        <w:contextualSpacing/>
      </w:pPr>
      <w:r>
        <w:t>OpenAIRE APIs compatible with Scholix to export and import links to and from DLI Service</w:t>
      </w:r>
    </w:p>
    <w:p w14:paraId="557DBFCE" w14:textId="77777777" w:rsidR="00E8126F" w:rsidRDefault="00653540">
      <w:pPr>
        <w:numPr>
          <w:ilvl w:val="1"/>
          <w:numId w:val="10"/>
        </w:numPr>
        <w:ind w:hanging="360"/>
        <w:contextualSpacing/>
      </w:pPr>
      <w:r>
        <w:t>Data centre/ publisher exemplar projects using DLI as per user scenarios</w:t>
      </w:r>
    </w:p>
    <w:p w14:paraId="54342CFC" w14:textId="77777777" w:rsidR="00E8126F" w:rsidRDefault="00653540">
      <w:r>
        <w:rPr>
          <w:b/>
        </w:rPr>
        <w:t>C. Elaborate the Scholix  framework</w:t>
      </w:r>
    </w:p>
    <w:p w14:paraId="70AE8FA4" w14:textId="77777777" w:rsidR="00E8126F" w:rsidRDefault="00653540">
      <w:pPr>
        <w:numPr>
          <w:ilvl w:val="0"/>
          <w:numId w:val="4"/>
        </w:numPr>
        <w:ind w:hanging="360"/>
        <w:contextualSpacing/>
      </w:pPr>
      <w:r>
        <w:t>Create profiles of the inf model for use in different technologies</w:t>
      </w:r>
    </w:p>
    <w:p w14:paraId="73C98D72" w14:textId="77777777" w:rsidR="00E8126F" w:rsidRDefault="00653540">
      <w:pPr>
        <w:numPr>
          <w:ilvl w:val="1"/>
          <w:numId w:val="4"/>
        </w:numPr>
        <w:ind w:hanging="360"/>
        <w:contextualSpacing/>
      </w:pPr>
      <w:r>
        <w:t>XML for oai-pmh</w:t>
      </w:r>
    </w:p>
    <w:p w14:paraId="16444CD2" w14:textId="77777777" w:rsidR="00E8126F" w:rsidRDefault="00653540">
      <w:pPr>
        <w:numPr>
          <w:ilvl w:val="1"/>
          <w:numId w:val="4"/>
        </w:numPr>
        <w:ind w:hanging="360"/>
        <w:contextualSpacing/>
      </w:pPr>
      <w:r>
        <w:t>JSON for RESTful api</w:t>
      </w:r>
    </w:p>
    <w:p w14:paraId="5543D840" w14:textId="77777777" w:rsidR="00E8126F" w:rsidRDefault="00653540">
      <w:pPr>
        <w:numPr>
          <w:ilvl w:val="0"/>
          <w:numId w:val="4"/>
        </w:numPr>
        <w:ind w:hanging="360"/>
        <w:contextualSpacing/>
      </w:pPr>
      <w:r>
        <w:t xml:space="preserve">Investigate how best to apply </w:t>
      </w:r>
    </w:p>
    <w:p w14:paraId="26CBDF6D" w14:textId="77777777" w:rsidR="00E8126F" w:rsidRDefault="00653540">
      <w:pPr>
        <w:numPr>
          <w:ilvl w:val="1"/>
          <w:numId w:val="4"/>
        </w:numPr>
        <w:ind w:hanging="360"/>
        <w:contextualSpacing/>
      </w:pPr>
      <w:r>
        <w:t>DISCO (through cooperation with RMAP)</w:t>
      </w:r>
    </w:p>
    <w:p w14:paraId="764719B5" w14:textId="77777777" w:rsidR="00E8126F" w:rsidRDefault="00653540">
      <w:pPr>
        <w:numPr>
          <w:ilvl w:val="1"/>
          <w:numId w:val="4"/>
        </w:numPr>
        <w:ind w:hanging="360"/>
        <w:contextualSpacing/>
      </w:pPr>
      <w:r>
        <w:t>ResourceSync</w:t>
      </w:r>
    </w:p>
    <w:p w14:paraId="20B22F0A" w14:textId="77777777" w:rsidR="00E8126F" w:rsidRDefault="00653540">
      <w:pPr>
        <w:numPr>
          <w:ilvl w:val="1"/>
          <w:numId w:val="4"/>
        </w:numPr>
        <w:ind w:hanging="360"/>
        <w:contextualSpacing/>
      </w:pPr>
      <w:r>
        <w:t>Others?…(RDF for Sparql)</w:t>
      </w:r>
    </w:p>
    <w:p w14:paraId="6EC356E4" w14:textId="77777777" w:rsidR="00E8126F" w:rsidRDefault="00653540">
      <w:pPr>
        <w:numPr>
          <w:ilvl w:val="0"/>
          <w:numId w:val="4"/>
        </w:numPr>
        <w:ind w:hanging="360"/>
        <w:contextualSpacing/>
      </w:pPr>
      <w:r>
        <w:t xml:space="preserve">Provide documentation and support materials for the above </w:t>
      </w:r>
    </w:p>
    <w:p w14:paraId="56E954E0" w14:textId="77777777" w:rsidR="00E8126F" w:rsidRDefault="00E8126F"/>
    <w:p w14:paraId="5069EC84" w14:textId="77777777" w:rsidR="00E8126F" w:rsidRDefault="00653540">
      <w:pPr>
        <w:pStyle w:val="Heading3"/>
        <w:contextualSpacing w:val="0"/>
      </w:pPr>
      <w:bookmarkStart w:id="9" w:name="_fj4d33ylkaac" w:colFirst="0" w:colLast="0"/>
      <w:bookmarkEnd w:id="9"/>
      <w:r>
        <w:t>2. Community buy-in stream</w:t>
      </w:r>
    </w:p>
    <w:p w14:paraId="0AA36750" w14:textId="77777777" w:rsidR="00E8126F" w:rsidRDefault="00653540">
      <w:r>
        <w:t>This stream supports buy-in from different communities such that exchange of scholarly link information is implemented and accepted as standard practice.</w:t>
      </w:r>
    </w:p>
    <w:p w14:paraId="39BF15FF" w14:textId="77777777" w:rsidR="00E8126F" w:rsidRDefault="00653540">
      <w:r>
        <w:rPr>
          <w:b/>
        </w:rPr>
        <w:t>D. Support Community Adoption:</w:t>
      </w:r>
    </w:p>
    <w:p w14:paraId="72BB985F" w14:textId="77777777" w:rsidR="00E8126F" w:rsidRDefault="00653540">
      <w:pPr>
        <w:numPr>
          <w:ilvl w:val="0"/>
          <w:numId w:val="16"/>
        </w:numPr>
        <w:ind w:hanging="360"/>
        <w:contextualSpacing/>
      </w:pPr>
      <w:r>
        <w:t>Create strategies for community adoption:</w:t>
      </w:r>
    </w:p>
    <w:p w14:paraId="21D17252" w14:textId="77777777" w:rsidR="00E8126F" w:rsidRDefault="00653540">
      <w:pPr>
        <w:numPr>
          <w:ilvl w:val="1"/>
          <w:numId w:val="16"/>
        </w:numPr>
        <w:ind w:hanging="360"/>
        <w:contextualSpacing/>
      </w:pPr>
      <w:r>
        <w:t>Publishers</w:t>
      </w:r>
    </w:p>
    <w:p w14:paraId="7B1B665D" w14:textId="77777777" w:rsidR="00E8126F" w:rsidRDefault="00653540">
      <w:pPr>
        <w:numPr>
          <w:ilvl w:val="1"/>
          <w:numId w:val="16"/>
        </w:numPr>
        <w:ind w:hanging="360"/>
        <w:contextualSpacing/>
      </w:pPr>
      <w:r>
        <w:t>Data centres</w:t>
      </w:r>
    </w:p>
    <w:p w14:paraId="6532EEED" w14:textId="77777777" w:rsidR="00E8126F" w:rsidRDefault="00653540">
      <w:pPr>
        <w:numPr>
          <w:ilvl w:val="1"/>
          <w:numId w:val="16"/>
        </w:numPr>
        <w:ind w:hanging="360"/>
        <w:contextualSpacing/>
      </w:pPr>
      <w:r>
        <w:t>Repositories</w:t>
      </w:r>
    </w:p>
    <w:p w14:paraId="6E04DEB9" w14:textId="77777777" w:rsidR="00E8126F" w:rsidRDefault="00653540">
      <w:pPr>
        <w:numPr>
          <w:ilvl w:val="1"/>
          <w:numId w:val="16"/>
        </w:numPr>
        <w:ind w:hanging="360"/>
        <w:contextualSpacing/>
      </w:pPr>
      <w:r>
        <w:t>….</w:t>
      </w:r>
    </w:p>
    <w:p w14:paraId="4BE15D3C" w14:textId="77777777" w:rsidR="00E8126F" w:rsidRDefault="00653540">
      <w:pPr>
        <w:numPr>
          <w:ilvl w:val="0"/>
          <w:numId w:val="16"/>
        </w:numPr>
        <w:ind w:hanging="360"/>
        <w:contextualSpacing/>
      </w:pPr>
      <w:r>
        <w:t>Implement these strategies through:</w:t>
      </w:r>
    </w:p>
    <w:p w14:paraId="1FC2B4B8" w14:textId="77777777" w:rsidR="00E8126F" w:rsidRDefault="00653540">
      <w:pPr>
        <w:numPr>
          <w:ilvl w:val="2"/>
          <w:numId w:val="16"/>
        </w:numPr>
        <w:ind w:hanging="360"/>
        <w:contextualSpacing/>
      </w:pPr>
      <w:r>
        <w:t>Early adopter groups (eg CrossRef early adopters; e.g. Force11 DCIP project; eg via the THOR project; with COAR)</w:t>
      </w:r>
    </w:p>
    <w:p w14:paraId="0B9BBC3B" w14:textId="77777777" w:rsidR="00E8126F" w:rsidRDefault="00653540">
      <w:pPr>
        <w:numPr>
          <w:ilvl w:val="2"/>
          <w:numId w:val="16"/>
        </w:numPr>
        <w:ind w:hanging="360"/>
        <w:contextualSpacing/>
      </w:pPr>
      <w:r>
        <w:t>Implementation projects</w:t>
      </w:r>
    </w:p>
    <w:p w14:paraId="7090DE8D" w14:textId="77777777" w:rsidR="00E8126F" w:rsidRDefault="00653540">
      <w:pPr>
        <w:numPr>
          <w:ilvl w:val="2"/>
          <w:numId w:val="16"/>
        </w:numPr>
        <w:ind w:hanging="360"/>
        <w:contextualSpacing/>
      </w:pPr>
      <w:r>
        <w:t>Webinars</w:t>
      </w:r>
    </w:p>
    <w:p w14:paraId="00B6AD21" w14:textId="77777777" w:rsidR="00E8126F" w:rsidRDefault="00653540">
      <w:pPr>
        <w:numPr>
          <w:ilvl w:val="2"/>
          <w:numId w:val="16"/>
        </w:numPr>
        <w:ind w:hanging="360"/>
        <w:contextualSpacing/>
      </w:pPr>
      <w:r>
        <w:t>Presentations</w:t>
      </w:r>
    </w:p>
    <w:p w14:paraId="7B1C7FA9" w14:textId="77777777" w:rsidR="00E8126F" w:rsidRDefault="00653540">
      <w:pPr>
        <w:numPr>
          <w:ilvl w:val="2"/>
          <w:numId w:val="16"/>
        </w:numPr>
        <w:ind w:hanging="360"/>
        <w:contextualSpacing/>
      </w:pPr>
      <w:r>
        <w:t>Support materials and activities</w:t>
      </w:r>
    </w:p>
    <w:p w14:paraId="0F5A6AD6" w14:textId="77777777" w:rsidR="00E8126F" w:rsidRDefault="00653540">
      <w:r>
        <w:rPr>
          <w:b/>
        </w:rPr>
        <w:t>E. Communicate Broadly</w:t>
      </w:r>
    </w:p>
    <w:p w14:paraId="1AC15D19" w14:textId="77777777" w:rsidR="00E8126F" w:rsidRDefault="00653540">
      <w:pPr>
        <w:numPr>
          <w:ilvl w:val="0"/>
          <w:numId w:val="18"/>
        </w:numPr>
        <w:ind w:hanging="360"/>
        <w:contextualSpacing/>
      </w:pPr>
      <w:r>
        <w:t>Create communications plans</w:t>
      </w:r>
    </w:p>
    <w:p w14:paraId="071D5B42" w14:textId="77777777" w:rsidR="00E8126F" w:rsidRDefault="00653540">
      <w:pPr>
        <w:numPr>
          <w:ilvl w:val="0"/>
          <w:numId w:val="18"/>
        </w:numPr>
        <w:ind w:hanging="360"/>
        <w:contextualSpacing/>
      </w:pPr>
      <w:r>
        <w:t>Implement communications plans</w:t>
      </w:r>
    </w:p>
    <w:p w14:paraId="0C4297EB" w14:textId="77777777" w:rsidR="00E8126F" w:rsidRDefault="00653540">
      <w:r>
        <w:rPr>
          <w:b/>
        </w:rPr>
        <w:t xml:space="preserve">F.  Create Coordination and Governance Materials. </w:t>
      </w:r>
      <w:r>
        <w:t>Investigate and document issues such as:</w:t>
      </w:r>
    </w:p>
    <w:p w14:paraId="71CADAE6" w14:textId="77777777" w:rsidR="00E8126F" w:rsidRDefault="00653540">
      <w:pPr>
        <w:numPr>
          <w:ilvl w:val="1"/>
          <w:numId w:val="5"/>
        </w:numPr>
        <w:ind w:hanging="360"/>
        <w:contextualSpacing/>
      </w:pPr>
      <w:r>
        <w:t>Quality of data links</w:t>
      </w:r>
    </w:p>
    <w:p w14:paraId="0E3CA32B" w14:textId="77777777" w:rsidR="00E8126F" w:rsidRDefault="00653540">
      <w:pPr>
        <w:numPr>
          <w:ilvl w:val="1"/>
          <w:numId w:val="5"/>
        </w:numPr>
        <w:ind w:hanging="360"/>
        <w:contextualSpacing/>
      </w:pPr>
      <w:r>
        <w:t xml:space="preserve">Requirements to be a hub </w:t>
      </w:r>
    </w:p>
    <w:p w14:paraId="474C549B" w14:textId="77777777" w:rsidR="00E8126F" w:rsidRDefault="00653540">
      <w:pPr>
        <w:numPr>
          <w:ilvl w:val="1"/>
          <w:numId w:val="5"/>
        </w:numPr>
        <w:ind w:hanging="360"/>
        <w:contextualSpacing/>
      </w:pPr>
      <w:r>
        <w:t>Access</w:t>
      </w:r>
    </w:p>
    <w:p w14:paraId="565689AF" w14:textId="77777777" w:rsidR="00E8126F" w:rsidRDefault="00653540">
      <w:pPr>
        <w:numPr>
          <w:ilvl w:val="1"/>
          <w:numId w:val="5"/>
        </w:numPr>
        <w:ind w:hanging="360"/>
        <w:contextualSpacing/>
      </w:pPr>
      <w:r>
        <w:t>Benefits for contributors</w:t>
      </w:r>
    </w:p>
    <w:p w14:paraId="50ECF470" w14:textId="77777777" w:rsidR="00E8126F" w:rsidRDefault="00653540">
      <w:pPr>
        <w:numPr>
          <w:ilvl w:val="1"/>
          <w:numId w:val="19"/>
        </w:numPr>
        <w:ind w:hanging="360"/>
        <w:contextualSpacing/>
      </w:pPr>
      <w:r>
        <w:t>Measures of success</w:t>
      </w:r>
    </w:p>
    <w:p w14:paraId="2D6A3BD0" w14:textId="77777777" w:rsidR="00E8126F" w:rsidRDefault="00E8126F"/>
    <w:p w14:paraId="5F856D35" w14:textId="77777777" w:rsidR="00E8126F" w:rsidRDefault="00653540">
      <w:r>
        <w:t>Key Stakeholder Groups</w:t>
      </w:r>
    </w:p>
    <w:p w14:paraId="1CBB7182" w14:textId="77777777" w:rsidR="00E8126F" w:rsidRDefault="00653540">
      <w:r>
        <w:lastRenderedPageBreak/>
        <w:t>The above Activity Plan will be delivered with involvement of the following groups who bring complementary resources, approaches, focus, and expertise.</w:t>
      </w:r>
    </w:p>
    <w:p w14:paraId="5DFE473D" w14:textId="77777777" w:rsidR="00E8126F" w:rsidRDefault="00653540">
      <w:pPr>
        <w:ind w:firstLine="720"/>
      </w:pPr>
      <w:r>
        <w:t>A. Advocacy and Peak Bodies</w:t>
      </w:r>
    </w:p>
    <w:p w14:paraId="7EFFE625" w14:textId="77777777" w:rsidR="00E8126F" w:rsidRDefault="00653540">
      <w:pPr>
        <w:numPr>
          <w:ilvl w:val="0"/>
          <w:numId w:val="14"/>
        </w:numPr>
        <w:ind w:hanging="360"/>
        <w:contextualSpacing/>
      </w:pPr>
      <w:r>
        <w:t>Force11 (application data citation standards &amp; advise on implementation standards)</w:t>
      </w:r>
    </w:p>
    <w:p w14:paraId="3A2D045D" w14:textId="77777777" w:rsidR="00E8126F" w:rsidRDefault="00653540">
      <w:pPr>
        <w:numPr>
          <w:ilvl w:val="0"/>
          <w:numId w:val="14"/>
        </w:numPr>
        <w:ind w:hanging="360"/>
        <w:contextualSpacing/>
      </w:pPr>
      <w:r>
        <w:t>CODATA (application data citation standards &amp; advise on implementation standards)</w:t>
      </w:r>
    </w:p>
    <w:p w14:paraId="6C0D456A" w14:textId="77777777" w:rsidR="00E8126F" w:rsidRDefault="00653540">
      <w:pPr>
        <w:numPr>
          <w:ilvl w:val="0"/>
          <w:numId w:val="14"/>
        </w:numPr>
        <w:ind w:hanging="360"/>
        <w:contextualSpacing/>
      </w:pPr>
      <w:r>
        <w:t>ICSU World Data System (e.g. get more citations into DataCite)</w:t>
      </w:r>
    </w:p>
    <w:p w14:paraId="542CE759" w14:textId="77777777" w:rsidR="00E8126F" w:rsidRDefault="00653540">
      <w:pPr>
        <w:numPr>
          <w:ilvl w:val="0"/>
          <w:numId w:val="14"/>
        </w:numPr>
        <w:ind w:hanging="360"/>
        <w:contextualSpacing/>
      </w:pPr>
      <w:r>
        <w:t>STM (outreach, training, Crossref early adopter project)</w:t>
      </w:r>
    </w:p>
    <w:p w14:paraId="59B41447" w14:textId="77777777" w:rsidR="00E8126F" w:rsidRDefault="00653540">
      <w:pPr>
        <w:numPr>
          <w:ilvl w:val="0"/>
          <w:numId w:val="14"/>
        </w:numPr>
        <w:ind w:hanging="360"/>
        <w:contextualSpacing/>
      </w:pPr>
      <w:r>
        <w:t>ESIP / COPDESS</w:t>
      </w:r>
    </w:p>
    <w:p w14:paraId="6C7AC48D" w14:textId="77777777" w:rsidR="00E8126F" w:rsidRDefault="00653540">
      <w:pPr>
        <w:numPr>
          <w:ilvl w:val="0"/>
          <w:numId w:val="14"/>
        </w:numPr>
        <w:ind w:hanging="360"/>
        <w:contextualSpacing/>
      </w:pPr>
      <w:r>
        <w:t>FAIR Data</w:t>
      </w:r>
    </w:p>
    <w:p w14:paraId="3CD3507B" w14:textId="77777777" w:rsidR="00E8126F" w:rsidRDefault="00653540">
      <w:pPr>
        <w:ind w:firstLine="720"/>
      </w:pPr>
      <w:r>
        <w:t>B. Other data literature linkage projects</w:t>
      </w:r>
    </w:p>
    <w:p w14:paraId="11C350E2" w14:textId="77777777" w:rsidR="00E8126F" w:rsidRDefault="00653540">
      <w:pPr>
        <w:numPr>
          <w:ilvl w:val="0"/>
          <w:numId w:val="14"/>
        </w:numPr>
        <w:ind w:hanging="360"/>
        <w:contextualSpacing/>
      </w:pPr>
      <w:r>
        <w:t>National Data Service</w:t>
      </w:r>
    </w:p>
    <w:p w14:paraId="0D02AB8C" w14:textId="77777777" w:rsidR="00E8126F" w:rsidRDefault="00653540">
      <w:pPr>
        <w:numPr>
          <w:ilvl w:val="0"/>
          <w:numId w:val="14"/>
        </w:numPr>
        <w:ind w:hanging="360"/>
        <w:contextualSpacing/>
      </w:pPr>
      <w:r>
        <w:t>RMAP (application of DISCO)</w:t>
      </w:r>
    </w:p>
    <w:p w14:paraId="3A7BCB3D" w14:textId="77777777" w:rsidR="00E8126F" w:rsidRDefault="00653540">
      <w:pPr>
        <w:numPr>
          <w:ilvl w:val="0"/>
          <w:numId w:val="11"/>
        </w:numPr>
        <w:ind w:hanging="360"/>
        <w:contextualSpacing/>
      </w:pPr>
      <w:r>
        <w:t>SHARE</w:t>
      </w:r>
    </w:p>
    <w:p w14:paraId="3A30B189" w14:textId="77777777" w:rsidR="00E8126F" w:rsidRDefault="00653540">
      <w:pPr>
        <w:numPr>
          <w:ilvl w:val="0"/>
          <w:numId w:val="11"/>
        </w:numPr>
        <w:ind w:hanging="360"/>
        <w:contextualSpacing/>
      </w:pPr>
      <w:r>
        <w:t>RDA Working Groups (Publishing Data IG, ….)</w:t>
      </w:r>
    </w:p>
    <w:p w14:paraId="7917AE75" w14:textId="77777777" w:rsidR="00E8126F" w:rsidRDefault="00653540">
      <w:pPr>
        <w:ind w:firstLine="720"/>
      </w:pPr>
      <w:r>
        <w:t>C. Prospective Hubs</w:t>
      </w:r>
    </w:p>
    <w:p w14:paraId="1C8CA89B" w14:textId="77777777" w:rsidR="00E8126F" w:rsidRDefault="00653540">
      <w:pPr>
        <w:numPr>
          <w:ilvl w:val="0"/>
          <w:numId w:val="11"/>
        </w:numPr>
        <w:ind w:hanging="360"/>
        <w:contextualSpacing/>
      </w:pPr>
      <w:r>
        <w:t>BIOCaddie (DataMed)</w:t>
      </w:r>
    </w:p>
    <w:p w14:paraId="5B2CFD93" w14:textId="77777777" w:rsidR="00E8126F" w:rsidRDefault="00653540">
      <w:pPr>
        <w:numPr>
          <w:ilvl w:val="0"/>
          <w:numId w:val="11"/>
        </w:numPr>
        <w:ind w:hanging="360"/>
        <w:contextualSpacing/>
      </w:pPr>
      <w:r>
        <w:t xml:space="preserve">EMBL-EBI/ELIXIR </w:t>
      </w:r>
    </w:p>
    <w:p w14:paraId="6808E43D" w14:textId="77777777" w:rsidR="00E8126F" w:rsidRDefault="00653540">
      <w:pPr>
        <w:numPr>
          <w:ilvl w:val="0"/>
          <w:numId w:val="11"/>
        </w:numPr>
        <w:ind w:hanging="360"/>
        <w:contextualSpacing/>
      </w:pPr>
      <w:r>
        <w:t>NASA ADS</w:t>
      </w:r>
    </w:p>
    <w:p w14:paraId="3828F152" w14:textId="77777777" w:rsidR="00E8126F" w:rsidRDefault="00E8126F">
      <w:pPr>
        <w:spacing w:before="160" w:after="160" w:line="384" w:lineRule="auto"/>
      </w:pPr>
    </w:p>
    <w:p w14:paraId="15BEA59E" w14:textId="77777777" w:rsidR="00E8126F" w:rsidRDefault="00653540">
      <w:pPr>
        <w:pStyle w:val="Heading1"/>
        <w:spacing w:before="160" w:after="160" w:line="384" w:lineRule="auto"/>
        <w:ind w:right="300"/>
        <w:contextualSpacing w:val="0"/>
      </w:pPr>
      <w:bookmarkStart w:id="10" w:name="_8v82w280it1t" w:colFirst="0" w:colLast="0"/>
      <w:bookmarkEnd w:id="10"/>
      <w:r>
        <w:t>Initial Membership</w:t>
      </w:r>
    </w:p>
    <w:p w14:paraId="4DE4552C" w14:textId="77777777" w:rsidR="00E8126F" w:rsidRDefault="00653540">
      <w:pPr>
        <w:spacing w:before="160"/>
        <w:ind w:right="300"/>
      </w:pPr>
      <w:r>
        <w:rPr>
          <w:rFonts w:ascii="Calibri" w:eastAsia="Calibri" w:hAnsi="Calibri" w:cs="Calibri"/>
          <w:color w:val="666666"/>
          <w:sz w:val="21"/>
          <w:szCs w:val="21"/>
          <w:highlight w:val="white"/>
        </w:rPr>
        <w:t>Initial members are coming from the existing working group on an opt-out basis; they will be asked again if they want to join this newly formed working group by e-mail following the RDA</w:t>
      </w:r>
    </w:p>
    <w:p w14:paraId="4BA44A5B" w14:textId="77777777" w:rsidR="00E8126F" w:rsidRDefault="00061DA1">
      <w:pPr>
        <w:spacing w:before="160"/>
        <w:ind w:right="300"/>
      </w:pPr>
      <w:hyperlink r:id="rId23">
        <w:r w:rsidR="00653540">
          <w:rPr>
            <w:rFonts w:ascii="Calibri" w:eastAsia="Calibri" w:hAnsi="Calibri" w:cs="Calibri"/>
            <w:color w:val="1155CC"/>
            <w:sz w:val="21"/>
            <w:szCs w:val="21"/>
            <w:highlight w:val="white"/>
            <w:u w:val="single"/>
          </w:rPr>
          <w:t>https://rd-alliance.org/groups/rdawds-publishing-data-services-wg.html</w:t>
        </w:r>
      </w:hyperlink>
    </w:p>
    <w:p w14:paraId="78C568EF" w14:textId="77777777" w:rsidR="00E8126F" w:rsidRDefault="00E8126F">
      <w:pPr>
        <w:spacing w:before="160" w:after="160" w:line="384" w:lineRule="auto"/>
        <w:ind w:right="300"/>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340"/>
        <w:gridCol w:w="2340"/>
        <w:gridCol w:w="2340"/>
        <w:gridCol w:w="2340"/>
      </w:tblGrid>
      <w:tr w:rsidR="00E8126F" w14:paraId="69A0BD65" w14:textId="77777777">
        <w:tc>
          <w:tcPr>
            <w:tcW w:w="2340" w:type="dxa"/>
            <w:tcBorders>
              <w:top w:val="nil"/>
              <w:left w:val="nil"/>
              <w:bottom w:val="nil"/>
              <w:right w:val="nil"/>
            </w:tcBorders>
            <w:tcMar>
              <w:top w:w="100" w:type="dxa"/>
              <w:left w:w="100" w:type="dxa"/>
              <w:bottom w:w="100" w:type="dxa"/>
              <w:right w:w="100" w:type="dxa"/>
            </w:tcMar>
          </w:tcPr>
          <w:p w14:paraId="48579DE6" w14:textId="77777777" w:rsidR="00E8126F" w:rsidRDefault="00653540">
            <w:pPr>
              <w:widowControl w:val="0"/>
            </w:pPr>
            <w:r>
              <w:rPr>
                <w:rFonts w:ascii="Calibri" w:eastAsia="Calibri" w:hAnsi="Calibri" w:cs="Calibri"/>
                <w:color w:val="666666"/>
                <w:sz w:val="21"/>
                <w:szCs w:val="21"/>
                <w:highlight w:val="white"/>
              </w:rPr>
              <w:t>Adrian Burton</w:t>
            </w:r>
          </w:p>
        </w:tc>
        <w:tc>
          <w:tcPr>
            <w:tcW w:w="2340" w:type="dxa"/>
            <w:tcBorders>
              <w:top w:val="nil"/>
              <w:left w:val="nil"/>
              <w:bottom w:val="nil"/>
              <w:right w:val="nil"/>
            </w:tcBorders>
            <w:tcMar>
              <w:top w:w="100" w:type="dxa"/>
              <w:left w:w="100" w:type="dxa"/>
              <w:bottom w:w="100" w:type="dxa"/>
              <w:right w:w="100" w:type="dxa"/>
            </w:tcMar>
          </w:tcPr>
          <w:p w14:paraId="64514ACF" w14:textId="77777777" w:rsidR="00E8126F" w:rsidRDefault="00653540">
            <w:pPr>
              <w:widowControl w:val="0"/>
            </w:pPr>
            <w:r>
              <w:rPr>
                <w:rFonts w:ascii="Calibri" w:eastAsia="Calibri" w:hAnsi="Calibri" w:cs="Calibri"/>
                <w:color w:val="666666"/>
                <w:sz w:val="21"/>
                <w:szCs w:val="21"/>
                <w:highlight w:val="white"/>
              </w:rPr>
              <w:t>George Mbevi</w:t>
            </w:r>
          </w:p>
        </w:tc>
        <w:tc>
          <w:tcPr>
            <w:tcW w:w="2340" w:type="dxa"/>
            <w:tcBorders>
              <w:top w:val="nil"/>
              <w:left w:val="nil"/>
              <w:bottom w:val="nil"/>
              <w:right w:val="nil"/>
            </w:tcBorders>
            <w:tcMar>
              <w:top w:w="100" w:type="dxa"/>
              <w:left w:w="100" w:type="dxa"/>
              <w:bottom w:w="100" w:type="dxa"/>
              <w:right w:w="100" w:type="dxa"/>
            </w:tcMar>
          </w:tcPr>
          <w:p w14:paraId="1DAFC144" w14:textId="77777777" w:rsidR="00E8126F" w:rsidRDefault="00653540">
            <w:pPr>
              <w:widowControl w:val="0"/>
            </w:pPr>
            <w:r>
              <w:rPr>
                <w:rFonts w:ascii="Calibri" w:eastAsia="Calibri" w:hAnsi="Calibri" w:cs="Calibri"/>
                <w:color w:val="666666"/>
                <w:sz w:val="21"/>
                <w:szCs w:val="21"/>
                <w:highlight w:val="white"/>
              </w:rPr>
              <w:t>Kathrin Beck</w:t>
            </w:r>
          </w:p>
        </w:tc>
        <w:tc>
          <w:tcPr>
            <w:tcW w:w="2340" w:type="dxa"/>
            <w:tcBorders>
              <w:top w:val="nil"/>
              <w:left w:val="nil"/>
              <w:bottom w:val="nil"/>
              <w:right w:val="nil"/>
            </w:tcBorders>
            <w:tcMar>
              <w:top w:w="100" w:type="dxa"/>
              <w:left w:w="100" w:type="dxa"/>
              <w:bottom w:w="100" w:type="dxa"/>
              <w:right w:w="100" w:type="dxa"/>
            </w:tcMar>
          </w:tcPr>
          <w:p w14:paraId="7A960DEA" w14:textId="77777777" w:rsidR="00E8126F" w:rsidRDefault="00653540">
            <w:pPr>
              <w:widowControl w:val="0"/>
            </w:pPr>
            <w:r>
              <w:rPr>
                <w:rFonts w:ascii="Calibri" w:eastAsia="Calibri" w:hAnsi="Calibri" w:cs="Calibri"/>
                <w:color w:val="666666"/>
                <w:sz w:val="21"/>
                <w:szCs w:val="21"/>
                <w:highlight w:val="white"/>
              </w:rPr>
              <w:t>Paul Dlug</w:t>
            </w:r>
          </w:p>
        </w:tc>
      </w:tr>
      <w:tr w:rsidR="00E8126F" w14:paraId="061C2000" w14:textId="77777777">
        <w:tc>
          <w:tcPr>
            <w:tcW w:w="2340" w:type="dxa"/>
            <w:tcBorders>
              <w:top w:val="nil"/>
              <w:left w:val="nil"/>
              <w:bottom w:val="nil"/>
              <w:right w:val="nil"/>
            </w:tcBorders>
            <w:tcMar>
              <w:top w:w="100" w:type="dxa"/>
              <w:left w:w="100" w:type="dxa"/>
              <w:bottom w:w="100" w:type="dxa"/>
              <w:right w:w="100" w:type="dxa"/>
            </w:tcMar>
          </w:tcPr>
          <w:p w14:paraId="568EC167" w14:textId="77777777" w:rsidR="00E8126F" w:rsidRDefault="00653540">
            <w:pPr>
              <w:widowControl w:val="0"/>
            </w:pPr>
            <w:r>
              <w:rPr>
                <w:rFonts w:ascii="Calibri" w:eastAsia="Calibri" w:hAnsi="Calibri" w:cs="Calibri"/>
                <w:color w:val="666666"/>
                <w:sz w:val="21"/>
                <w:szCs w:val="21"/>
                <w:highlight w:val="white"/>
              </w:rPr>
              <w:t>Amir Aryani</w:t>
            </w:r>
          </w:p>
        </w:tc>
        <w:tc>
          <w:tcPr>
            <w:tcW w:w="2340" w:type="dxa"/>
            <w:tcBorders>
              <w:top w:val="nil"/>
              <w:left w:val="nil"/>
              <w:bottom w:val="nil"/>
              <w:right w:val="nil"/>
            </w:tcBorders>
            <w:tcMar>
              <w:top w:w="100" w:type="dxa"/>
              <w:left w:w="100" w:type="dxa"/>
              <w:bottom w:w="100" w:type="dxa"/>
              <w:right w:w="100" w:type="dxa"/>
            </w:tcMar>
          </w:tcPr>
          <w:p w14:paraId="3D9E73F8" w14:textId="77777777" w:rsidR="00E8126F" w:rsidRDefault="00653540">
            <w:pPr>
              <w:widowControl w:val="0"/>
            </w:pPr>
            <w:r>
              <w:rPr>
                <w:rFonts w:ascii="Calibri" w:eastAsia="Calibri" w:hAnsi="Calibri" w:cs="Calibri"/>
                <w:color w:val="666666"/>
                <w:sz w:val="21"/>
                <w:szCs w:val="21"/>
                <w:highlight w:val="white"/>
              </w:rPr>
              <w:t>Håkan Grudd</w:t>
            </w:r>
          </w:p>
        </w:tc>
        <w:tc>
          <w:tcPr>
            <w:tcW w:w="2340" w:type="dxa"/>
            <w:tcBorders>
              <w:top w:val="nil"/>
              <w:left w:val="nil"/>
              <w:bottom w:val="nil"/>
              <w:right w:val="nil"/>
            </w:tcBorders>
            <w:tcMar>
              <w:top w:w="100" w:type="dxa"/>
              <w:left w:w="100" w:type="dxa"/>
              <w:bottom w:w="100" w:type="dxa"/>
              <w:right w:w="100" w:type="dxa"/>
            </w:tcMar>
          </w:tcPr>
          <w:p w14:paraId="02D3CBFC" w14:textId="77777777" w:rsidR="00E8126F" w:rsidRDefault="00653540">
            <w:pPr>
              <w:widowControl w:val="0"/>
            </w:pPr>
            <w:r>
              <w:rPr>
                <w:rFonts w:ascii="Calibri" w:eastAsia="Calibri" w:hAnsi="Calibri" w:cs="Calibri"/>
                <w:color w:val="666666"/>
                <w:sz w:val="21"/>
                <w:szCs w:val="21"/>
                <w:highlight w:val="white"/>
              </w:rPr>
              <w:t>Kerstin Helbig</w:t>
            </w:r>
          </w:p>
        </w:tc>
        <w:tc>
          <w:tcPr>
            <w:tcW w:w="2340" w:type="dxa"/>
            <w:tcBorders>
              <w:top w:val="nil"/>
              <w:left w:val="nil"/>
              <w:bottom w:val="nil"/>
              <w:right w:val="nil"/>
            </w:tcBorders>
            <w:tcMar>
              <w:top w:w="100" w:type="dxa"/>
              <w:left w:w="100" w:type="dxa"/>
              <w:bottom w:w="100" w:type="dxa"/>
              <w:right w:w="100" w:type="dxa"/>
            </w:tcMar>
          </w:tcPr>
          <w:p w14:paraId="124542B0" w14:textId="77777777" w:rsidR="00E8126F" w:rsidRDefault="00653540">
            <w:pPr>
              <w:widowControl w:val="0"/>
            </w:pPr>
            <w:r>
              <w:rPr>
                <w:rFonts w:ascii="Calibri" w:eastAsia="Calibri" w:hAnsi="Calibri" w:cs="Calibri"/>
                <w:color w:val="666666"/>
                <w:sz w:val="21"/>
                <w:szCs w:val="21"/>
                <w:highlight w:val="white"/>
              </w:rPr>
              <w:t>Peter Rose</w:t>
            </w:r>
          </w:p>
        </w:tc>
      </w:tr>
      <w:tr w:rsidR="00E8126F" w14:paraId="3F41174B" w14:textId="77777777">
        <w:tc>
          <w:tcPr>
            <w:tcW w:w="2340" w:type="dxa"/>
            <w:tcBorders>
              <w:top w:val="nil"/>
              <w:left w:val="nil"/>
              <w:bottom w:val="nil"/>
              <w:right w:val="nil"/>
            </w:tcBorders>
            <w:tcMar>
              <w:top w:w="100" w:type="dxa"/>
              <w:left w:w="100" w:type="dxa"/>
              <w:bottom w:w="100" w:type="dxa"/>
              <w:right w:w="100" w:type="dxa"/>
            </w:tcMar>
          </w:tcPr>
          <w:p w14:paraId="0004641D" w14:textId="77777777" w:rsidR="00E8126F" w:rsidRDefault="00653540">
            <w:pPr>
              <w:widowControl w:val="0"/>
            </w:pPr>
            <w:r>
              <w:rPr>
                <w:rFonts w:ascii="Calibri" w:eastAsia="Calibri" w:hAnsi="Calibri" w:cs="Calibri"/>
                <w:color w:val="666666"/>
                <w:sz w:val="21"/>
                <w:szCs w:val="21"/>
                <w:highlight w:val="white"/>
              </w:rPr>
              <w:t>Amye Kenall</w:t>
            </w:r>
          </w:p>
        </w:tc>
        <w:tc>
          <w:tcPr>
            <w:tcW w:w="2340" w:type="dxa"/>
            <w:tcBorders>
              <w:top w:val="nil"/>
              <w:left w:val="nil"/>
              <w:bottom w:val="nil"/>
              <w:right w:val="nil"/>
            </w:tcBorders>
            <w:tcMar>
              <w:top w:w="100" w:type="dxa"/>
              <w:left w:w="100" w:type="dxa"/>
              <w:bottom w:w="100" w:type="dxa"/>
              <w:right w:w="100" w:type="dxa"/>
            </w:tcMar>
          </w:tcPr>
          <w:p w14:paraId="43816448" w14:textId="77777777" w:rsidR="00E8126F" w:rsidRDefault="00653540">
            <w:pPr>
              <w:widowControl w:val="0"/>
            </w:pPr>
            <w:r>
              <w:rPr>
                <w:rFonts w:ascii="Calibri" w:eastAsia="Calibri" w:hAnsi="Calibri" w:cs="Calibri"/>
                <w:color w:val="666666"/>
                <w:sz w:val="21"/>
                <w:szCs w:val="21"/>
                <w:highlight w:val="white"/>
              </w:rPr>
              <w:t>Haralambos Marmanis</w:t>
            </w:r>
          </w:p>
        </w:tc>
        <w:tc>
          <w:tcPr>
            <w:tcW w:w="2340" w:type="dxa"/>
            <w:tcBorders>
              <w:top w:val="nil"/>
              <w:left w:val="nil"/>
              <w:bottom w:val="nil"/>
              <w:right w:val="nil"/>
            </w:tcBorders>
            <w:tcMar>
              <w:top w:w="100" w:type="dxa"/>
              <w:left w:w="100" w:type="dxa"/>
              <w:bottom w:w="100" w:type="dxa"/>
              <w:right w:w="100" w:type="dxa"/>
            </w:tcMar>
          </w:tcPr>
          <w:p w14:paraId="55F0FD64" w14:textId="77777777" w:rsidR="00E8126F" w:rsidRDefault="00653540">
            <w:pPr>
              <w:widowControl w:val="0"/>
            </w:pPr>
            <w:r>
              <w:rPr>
                <w:rFonts w:ascii="Calibri" w:eastAsia="Calibri" w:hAnsi="Calibri" w:cs="Calibri"/>
                <w:color w:val="666666"/>
                <w:sz w:val="21"/>
                <w:szCs w:val="21"/>
                <w:highlight w:val="white"/>
              </w:rPr>
              <w:t>Kerstin Lehnert*</w:t>
            </w:r>
          </w:p>
        </w:tc>
        <w:tc>
          <w:tcPr>
            <w:tcW w:w="2340" w:type="dxa"/>
            <w:tcBorders>
              <w:top w:val="nil"/>
              <w:left w:val="nil"/>
              <w:bottom w:val="nil"/>
              <w:right w:val="nil"/>
            </w:tcBorders>
            <w:tcMar>
              <w:top w:w="100" w:type="dxa"/>
              <w:left w:w="100" w:type="dxa"/>
              <w:bottom w:w="100" w:type="dxa"/>
              <w:right w:w="100" w:type="dxa"/>
            </w:tcMar>
          </w:tcPr>
          <w:p w14:paraId="1935C7DD" w14:textId="77777777" w:rsidR="00E8126F" w:rsidRDefault="00653540">
            <w:pPr>
              <w:widowControl w:val="0"/>
            </w:pPr>
            <w:r>
              <w:rPr>
                <w:rFonts w:ascii="Calibri" w:eastAsia="Calibri" w:hAnsi="Calibri" w:cs="Calibri"/>
                <w:color w:val="666666"/>
                <w:sz w:val="21"/>
                <w:szCs w:val="21"/>
                <w:highlight w:val="white"/>
              </w:rPr>
              <w:t>Peter Fox</w:t>
            </w:r>
          </w:p>
        </w:tc>
      </w:tr>
      <w:tr w:rsidR="00E8126F" w14:paraId="2823B55D" w14:textId="77777777">
        <w:tc>
          <w:tcPr>
            <w:tcW w:w="2340" w:type="dxa"/>
            <w:tcBorders>
              <w:top w:val="nil"/>
              <w:left w:val="nil"/>
              <w:bottom w:val="nil"/>
              <w:right w:val="nil"/>
            </w:tcBorders>
            <w:tcMar>
              <w:top w:w="100" w:type="dxa"/>
              <w:left w:w="100" w:type="dxa"/>
              <w:bottom w:w="100" w:type="dxa"/>
              <w:right w:w="100" w:type="dxa"/>
            </w:tcMar>
          </w:tcPr>
          <w:p w14:paraId="3F275FF4" w14:textId="77777777" w:rsidR="00E8126F" w:rsidRDefault="00653540">
            <w:pPr>
              <w:widowControl w:val="0"/>
            </w:pPr>
            <w:r>
              <w:rPr>
                <w:rFonts w:ascii="Calibri" w:eastAsia="Calibri" w:hAnsi="Calibri" w:cs="Calibri"/>
                <w:color w:val="666666"/>
                <w:sz w:val="21"/>
                <w:szCs w:val="21"/>
                <w:highlight w:val="white"/>
              </w:rPr>
              <w:t>Aris Gkoulalas-Divanis</w:t>
            </w:r>
          </w:p>
        </w:tc>
        <w:tc>
          <w:tcPr>
            <w:tcW w:w="2340" w:type="dxa"/>
            <w:tcBorders>
              <w:top w:val="nil"/>
              <w:left w:val="nil"/>
              <w:bottom w:val="nil"/>
              <w:right w:val="nil"/>
            </w:tcBorders>
            <w:tcMar>
              <w:top w:w="100" w:type="dxa"/>
              <w:left w:w="100" w:type="dxa"/>
              <w:bottom w:w="100" w:type="dxa"/>
              <w:right w:w="100" w:type="dxa"/>
            </w:tcMar>
          </w:tcPr>
          <w:p w14:paraId="6498E6F5" w14:textId="77777777" w:rsidR="00E8126F" w:rsidRDefault="00653540">
            <w:pPr>
              <w:widowControl w:val="0"/>
            </w:pPr>
            <w:r>
              <w:rPr>
                <w:rFonts w:ascii="Calibri" w:eastAsia="Calibri" w:hAnsi="Calibri" w:cs="Calibri"/>
                <w:color w:val="666666"/>
                <w:sz w:val="21"/>
                <w:szCs w:val="21"/>
                <w:highlight w:val="white"/>
              </w:rPr>
              <w:t>Howard Ratner</w:t>
            </w:r>
          </w:p>
        </w:tc>
        <w:tc>
          <w:tcPr>
            <w:tcW w:w="2340" w:type="dxa"/>
            <w:tcBorders>
              <w:top w:val="nil"/>
              <w:left w:val="nil"/>
              <w:bottom w:val="nil"/>
              <w:right w:val="nil"/>
            </w:tcBorders>
            <w:tcMar>
              <w:top w:w="100" w:type="dxa"/>
              <w:left w:w="100" w:type="dxa"/>
              <w:bottom w:w="100" w:type="dxa"/>
              <w:right w:w="100" w:type="dxa"/>
            </w:tcMar>
          </w:tcPr>
          <w:p w14:paraId="58E1449B" w14:textId="77777777" w:rsidR="00E8126F" w:rsidRDefault="00653540">
            <w:pPr>
              <w:widowControl w:val="0"/>
            </w:pPr>
            <w:r>
              <w:rPr>
                <w:rFonts w:ascii="Calibri" w:eastAsia="Calibri" w:hAnsi="Calibri" w:cs="Calibri"/>
                <w:color w:val="666666"/>
                <w:sz w:val="21"/>
                <w:szCs w:val="21"/>
                <w:highlight w:val="white"/>
              </w:rPr>
              <w:t>Lars Vilhuber</w:t>
            </w:r>
          </w:p>
        </w:tc>
        <w:tc>
          <w:tcPr>
            <w:tcW w:w="2340" w:type="dxa"/>
            <w:tcBorders>
              <w:top w:val="nil"/>
              <w:left w:val="nil"/>
              <w:bottom w:val="nil"/>
              <w:right w:val="nil"/>
            </w:tcBorders>
            <w:tcMar>
              <w:top w:w="100" w:type="dxa"/>
              <w:left w:w="100" w:type="dxa"/>
              <w:bottom w:w="100" w:type="dxa"/>
              <w:right w:w="100" w:type="dxa"/>
            </w:tcMar>
          </w:tcPr>
          <w:p w14:paraId="5511D4F6" w14:textId="77777777" w:rsidR="00E8126F" w:rsidRDefault="00653540">
            <w:pPr>
              <w:widowControl w:val="0"/>
            </w:pPr>
            <w:r>
              <w:rPr>
                <w:rFonts w:ascii="Calibri" w:eastAsia="Calibri" w:hAnsi="Calibri" w:cs="Calibri"/>
                <w:color w:val="666666"/>
                <w:sz w:val="21"/>
                <w:szCs w:val="21"/>
                <w:highlight w:val="white"/>
              </w:rPr>
              <w:t>Rabia Khan</w:t>
            </w:r>
          </w:p>
        </w:tc>
      </w:tr>
      <w:tr w:rsidR="00E8126F" w14:paraId="560F3842" w14:textId="77777777">
        <w:tc>
          <w:tcPr>
            <w:tcW w:w="2340" w:type="dxa"/>
            <w:tcBorders>
              <w:top w:val="nil"/>
              <w:left w:val="nil"/>
              <w:bottom w:val="nil"/>
              <w:right w:val="nil"/>
            </w:tcBorders>
            <w:tcMar>
              <w:top w:w="100" w:type="dxa"/>
              <w:left w:w="100" w:type="dxa"/>
              <w:bottom w:w="100" w:type="dxa"/>
              <w:right w:w="100" w:type="dxa"/>
            </w:tcMar>
          </w:tcPr>
          <w:p w14:paraId="7CF17C03" w14:textId="77777777" w:rsidR="00E8126F" w:rsidRDefault="00653540">
            <w:pPr>
              <w:widowControl w:val="0"/>
            </w:pPr>
            <w:r>
              <w:rPr>
                <w:rFonts w:ascii="Calibri" w:eastAsia="Calibri" w:hAnsi="Calibri" w:cs="Calibri"/>
                <w:color w:val="666666"/>
                <w:sz w:val="21"/>
                <w:szCs w:val="21"/>
                <w:highlight w:val="white"/>
              </w:rPr>
              <w:t>Arnold Rots</w:t>
            </w:r>
          </w:p>
        </w:tc>
        <w:tc>
          <w:tcPr>
            <w:tcW w:w="2340" w:type="dxa"/>
            <w:tcBorders>
              <w:top w:val="nil"/>
              <w:left w:val="nil"/>
              <w:bottom w:val="nil"/>
              <w:right w:val="nil"/>
            </w:tcBorders>
            <w:tcMar>
              <w:top w:w="100" w:type="dxa"/>
              <w:left w:w="100" w:type="dxa"/>
              <w:bottom w:w="100" w:type="dxa"/>
              <w:right w:w="100" w:type="dxa"/>
            </w:tcMar>
          </w:tcPr>
          <w:p w14:paraId="572F6704" w14:textId="77777777" w:rsidR="00E8126F" w:rsidRDefault="00653540">
            <w:pPr>
              <w:widowControl w:val="0"/>
            </w:pPr>
            <w:r>
              <w:rPr>
                <w:rFonts w:ascii="Calibri" w:eastAsia="Calibri" w:hAnsi="Calibri" w:cs="Calibri"/>
                <w:color w:val="666666"/>
                <w:sz w:val="21"/>
                <w:szCs w:val="21"/>
                <w:highlight w:val="white"/>
              </w:rPr>
              <w:t>Hua Xu</w:t>
            </w:r>
          </w:p>
        </w:tc>
        <w:tc>
          <w:tcPr>
            <w:tcW w:w="2340" w:type="dxa"/>
            <w:tcBorders>
              <w:top w:val="nil"/>
              <w:left w:val="nil"/>
              <w:bottom w:val="nil"/>
              <w:right w:val="nil"/>
            </w:tcBorders>
            <w:tcMar>
              <w:top w:w="100" w:type="dxa"/>
              <w:left w:w="100" w:type="dxa"/>
              <w:bottom w:w="100" w:type="dxa"/>
              <w:right w:w="100" w:type="dxa"/>
            </w:tcMar>
          </w:tcPr>
          <w:p w14:paraId="508FDBE5" w14:textId="77777777" w:rsidR="00E8126F" w:rsidRDefault="00653540">
            <w:pPr>
              <w:widowControl w:val="0"/>
            </w:pPr>
            <w:r>
              <w:rPr>
                <w:rFonts w:ascii="Calibri" w:eastAsia="Calibri" w:hAnsi="Calibri" w:cs="Calibri"/>
                <w:color w:val="666666"/>
                <w:sz w:val="21"/>
                <w:szCs w:val="21"/>
                <w:highlight w:val="white"/>
              </w:rPr>
              <w:t>Laura Rueda*</w:t>
            </w:r>
          </w:p>
        </w:tc>
        <w:tc>
          <w:tcPr>
            <w:tcW w:w="2340" w:type="dxa"/>
            <w:tcBorders>
              <w:top w:val="nil"/>
              <w:left w:val="nil"/>
              <w:bottom w:val="nil"/>
              <w:right w:val="nil"/>
            </w:tcBorders>
            <w:tcMar>
              <w:top w:w="100" w:type="dxa"/>
              <w:left w:w="100" w:type="dxa"/>
              <w:bottom w:w="100" w:type="dxa"/>
              <w:right w:w="100" w:type="dxa"/>
            </w:tcMar>
          </w:tcPr>
          <w:p w14:paraId="39F3B90F" w14:textId="77777777" w:rsidR="00E8126F" w:rsidRDefault="00653540">
            <w:pPr>
              <w:widowControl w:val="0"/>
            </w:pPr>
            <w:r>
              <w:rPr>
                <w:rFonts w:ascii="Calibri" w:eastAsia="Calibri" w:hAnsi="Calibri" w:cs="Calibri"/>
                <w:color w:val="666666"/>
                <w:sz w:val="21"/>
                <w:szCs w:val="21"/>
                <w:highlight w:val="white"/>
              </w:rPr>
              <w:t>Rainer Stotzka</w:t>
            </w:r>
          </w:p>
        </w:tc>
      </w:tr>
      <w:tr w:rsidR="00E8126F" w14:paraId="21E6B0C3" w14:textId="77777777">
        <w:tc>
          <w:tcPr>
            <w:tcW w:w="2340" w:type="dxa"/>
            <w:tcBorders>
              <w:top w:val="nil"/>
              <w:left w:val="nil"/>
              <w:bottom w:val="nil"/>
              <w:right w:val="nil"/>
            </w:tcBorders>
            <w:tcMar>
              <w:top w:w="100" w:type="dxa"/>
              <w:left w:w="100" w:type="dxa"/>
              <w:bottom w:w="100" w:type="dxa"/>
              <w:right w:w="100" w:type="dxa"/>
            </w:tcMar>
          </w:tcPr>
          <w:p w14:paraId="20EE2494" w14:textId="77777777" w:rsidR="00E8126F" w:rsidRDefault="00653540">
            <w:pPr>
              <w:widowControl w:val="0"/>
            </w:pPr>
            <w:r>
              <w:rPr>
                <w:rFonts w:ascii="Calibri" w:eastAsia="Calibri" w:hAnsi="Calibri" w:cs="Calibri"/>
                <w:color w:val="666666"/>
                <w:sz w:val="21"/>
                <w:szCs w:val="21"/>
                <w:highlight w:val="white"/>
              </w:rPr>
              <w:t>Arthur Smith</w:t>
            </w:r>
          </w:p>
        </w:tc>
        <w:tc>
          <w:tcPr>
            <w:tcW w:w="2340" w:type="dxa"/>
            <w:tcBorders>
              <w:top w:val="nil"/>
              <w:left w:val="nil"/>
              <w:bottom w:val="nil"/>
              <w:right w:val="nil"/>
            </w:tcBorders>
            <w:tcMar>
              <w:top w:w="100" w:type="dxa"/>
              <w:left w:w="100" w:type="dxa"/>
              <w:bottom w:w="100" w:type="dxa"/>
              <w:right w:w="100" w:type="dxa"/>
            </w:tcMar>
          </w:tcPr>
          <w:p w14:paraId="6AFE0B1E" w14:textId="77777777" w:rsidR="00E8126F" w:rsidRDefault="00653540">
            <w:pPr>
              <w:widowControl w:val="0"/>
            </w:pPr>
            <w:r>
              <w:rPr>
                <w:rFonts w:ascii="Calibri" w:eastAsia="Calibri" w:hAnsi="Calibri" w:cs="Calibri"/>
                <w:color w:val="666666"/>
                <w:sz w:val="21"/>
                <w:szCs w:val="21"/>
                <w:highlight w:val="white"/>
              </w:rPr>
              <w:t>Hylke Koers</w:t>
            </w:r>
          </w:p>
        </w:tc>
        <w:tc>
          <w:tcPr>
            <w:tcW w:w="2340" w:type="dxa"/>
            <w:tcBorders>
              <w:top w:val="nil"/>
              <w:left w:val="nil"/>
              <w:bottom w:val="nil"/>
              <w:right w:val="nil"/>
            </w:tcBorders>
            <w:tcMar>
              <w:top w:w="100" w:type="dxa"/>
              <w:left w:w="100" w:type="dxa"/>
              <w:bottom w:w="100" w:type="dxa"/>
              <w:right w:w="100" w:type="dxa"/>
            </w:tcMar>
          </w:tcPr>
          <w:p w14:paraId="2EFD776F" w14:textId="77777777" w:rsidR="00E8126F" w:rsidRDefault="00653540">
            <w:pPr>
              <w:widowControl w:val="0"/>
            </w:pPr>
            <w:r>
              <w:rPr>
                <w:rFonts w:ascii="Calibri" w:eastAsia="Calibri" w:hAnsi="Calibri" w:cs="Calibri"/>
                <w:color w:val="666666"/>
                <w:sz w:val="21"/>
                <w:szCs w:val="21"/>
                <w:highlight w:val="white"/>
              </w:rPr>
              <w:t>Laurel Haak</w:t>
            </w:r>
          </w:p>
        </w:tc>
        <w:tc>
          <w:tcPr>
            <w:tcW w:w="2340" w:type="dxa"/>
            <w:tcBorders>
              <w:top w:val="nil"/>
              <w:left w:val="nil"/>
              <w:bottom w:val="nil"/>
              <w:right w:val="nil"/>
            </w:tcBorders>
            <w:tcMar>
              <w:top w:w="100" w:type="dxa"/>
              <w:left w:w="100" w:type="dxa"/>
              <w:bottom w:w="100" w:type="dxa"/>
              <w:right w:w="100" w:type="dxa"/>
            </w:tcMar>
          </w:tcPr>
          <w:p w14:paraId="4CDBA8C7" w14:textId="77777777" w:rsidR="00E8126F" w:rsidRDefault="00653540">
            <w:pPr>
              <w:widowControl w:val="0"/>
            </w:pPr>
            <w:r>
              <w:rPr>
                <w:rFonts w:ascii="Calibri" w:eastAsia="Calibri" w:hAnsi="Calibri" w:cs="Calibri"/>
                <w:color w:val="666666"/>
                <w:sz w:val="21"/>
                <w:szCs w:val="21"/>
                <w:highlight w:val="white"/>
              </w:rPr>
              <w:t>Richard Kidd</w:t>
            </w:r>
          </w:p>
        </w:tc>
      </w:tr>
      <w:tr w:rsidR="00E8126F" w14:paraId="035ECD91" w14:textId="77777777">
        <w:tc>
          <w:tcPr>
            <w:tcW w:w="2340" w:type="dxa"/>
            <w:tcBorders>
              <w:top w:val="nil"/>
              <w:left w:val="nil"/>
              <w:bottom w:val="nil"/>
              <w:right w:val="nil"/>
            </w:tcBorders>
            <w:tcMar>
              <w:top w:w="100" w:type="dxa"/>
              <w:left w:w="100" w:type="dxa"/>
              <w:bottom w:w="100" w:type="dxa"/>
              <w:right w:w="100" w:type="dxa"/>
            </w:tcMar>
          </w:tcPr>
          <w:p w14:paraId="2A17F3D8" w14:textId="77777777" w:rsidR="00E8126F" w:rsidRDefault="00653540">
            <w:pPr>
              <w:widowControl w:val="0"/>
            </w:pPr>
            <w:r>
              <w:rPr>
                <w:rFonts w:ascii="Calibri" w:eastAsia="Calibri" w:hAnsi="Calibri" w:cs="Calibri"/>
                <w:color w:val="666666"/>
                <w:sz w:val="21"/>
                <w:szCs w:val="21"/>
                <w:highlight w:val="white"/>
              </w:rPr>
              <w:t>Bernard Avril</w:t>
            </w:r>
          </w:p>
        </w:tc>
        <w:tc>
          <w:tcPr>
            <w:tcW w:w="2340" w:type="dxa"/>
            <w:tcBorders>
              <w:top w:val="nil"/>
              <w:left w:val="nil"/>
              <w:bottom w:val="nil"/>
              <w:right w:val="nil"/>
            </w:tcBorders>
            <w:tcMar>
              <w:top w:w="100" w:type="dxa"/>
              <w:left w:w="100" w:type="dxa"/>
              <w:bottom w:w="100" w:type="dxa"/>
              <w:right w:w="100" w:type="dxa"/>
            </w:tcMar>
          </w:tcPr>
          <w:p w14:paraId="73F2787D" w14:textId="77777777" w:rsidR="00E8126F" w:rsidRDefault="00653540">
            <w:pPr>
              <w:widowControl w:val="0"/>
            </w:pPr>
            <w:r>
              <w:rPr>
                <w:rFonts w:ascii="Calibri" w:eastAsia="Calibri" w:hAnsi="Calibri" w:cs="Calibri"/>
                <w:color w:val="666666"/>
                <w:sz w:val="21"/>
                <w:szCs w:val="21"/>
                <w:highlight w:val="white"/>
              </w:rPr>
              <w:t>Iain Hrynaszkiewicz</w:t>
            </w:r>
          </w:p>
        </w:tc>
        <w:tc>
          <w:tcPr>
            <w:tcW w:w="2340" w:type="dxa"/>
            <w:tcBorders>
              <w:top w:val="nil"/>
              <w:left w:val="nil"/>
              <w:bottom w:val="nil"/>
              <w:right w:val="nil"/>
            </w:tcBorders>
            <w:tcMar>
              <w:top w:w="100" w:type="dxa"/>
              <w:left w:w="100" w:type="dxa"/>
              <w:bottom w:w="100" w:type="dxa"/>
              <w:right w:w="100" w:type="dxa"/>
            </w:tcMar>
          </w:tcPr>
          <w:p w14:paraId="38053724" w14:textId="77777777" w:rsidR="00E8126F" w:rsidRDefault="00653540">
            <w:pPr>
              <w:widowControl w:val="0"/>
            </w:pPr>
            <w:r>
              <w:rPr>
                <w:rFonts w:ascii="Calibri" w:eastAsia="Calibri" w:hAnsi="Calibri" w:cs="Calibri"/>
                <w:color w:val="666666"/>
                <w:sz w:val="21"/>
                <w:szCs w:val="21"/>
                <w:highlight w:val="white"/>
              </w:rPr>
              <w:t>Leonardo Candela</w:t>
            </w:r>
          </w:p>
        </w:tc>
        <w:tc>
          <w:tcPr>
            <w:tcW w:w="2340" w:type="dxa"/>
            <w:tcBorders>
              <w:top w:val="nil"/>
              <w:left w:val="nil"/>
              <w:bottom w:val="nil"/>
              <w:right w:val="nil"/>
            </w:tcBorders>
            <w:tcMar>
              <w:top w:w="100" w:type="dxa"/>
              <w:left w:w="100" w:type="dxa"/>
              <w:bottom w:w="100" w:type="dxa"/>
              <w:right w:w="100" w:type="dxa"/>
            </w:tcMar>
          </w:tcPr>
          <w:p w14:paraId="3B2130ED" w14:textId="77777777" w:rsidR="00E8126F" w:rsidRDefault="00653540">
            <w:pPr>
              <w:widowControl w:val="0"/>
            </w:pPr>
            <w:r>
              <w:rPr>
                <w:rFonts w:ascii="Calibri" w:eastAsia="Calibri" w:hAnsi="Calibri" w:cs="Calibri"/>
                <w:color w:val="666666"/>
                <w:sz w:val="21"/>
                <w:szCs w:val="21"/>
                <w:highlight w:val="white"/>
              </w:rPr>
              <w:t>Rick Johnson</w:t>
            </w:r>
          </w:p>
        </w:tc>
      </w:tr>
      <w:tr w:rsidR="00E8126F" w14:paraId="1A7D8DAA" w14:textId="77777777">
        <w:tc>
          <w:tcPr>
            <w:tcW w:w="2340" w:type="dxa"/>
            <w:tcBorders>
              <w:top w:val="nil"/>
              <w:left w:val="nil"/>
              <w:bottom w:val="nil"/>
              <w:right w:val="nil"/>
            </w:tcBorders>
            <w:tcMar>
              <w:top w:w="100" w:type="dxa"/>
              <w:left w:w="100" w:type="dxa"/>
              <w:bottom w:w="100" w:type="dxa"/>
              <w:right w:w="100" w:type="dxa"/>
            </w:tcMar>
          </w:tcPr>
          <w:p w14:paraId="6700E281" w14:textId="77777777" w:rsidR="00E8126F" w:rsidRDefault="00653540">
            <w:pPr>
              <w:widowControl w:val="0"/>
            </w:pPr>
            <w:r>
              <w:rPr>
                <w:rFonts w:ascii="Calibri" w:eastAsia="Calibri" w:hAnsi="Calibri" w:cs="Calibri"/>
                <w:color w:val="666666"/>
                <w:sz w:val="21"/>
                <w:szCs w:val="21"/>
                <w:highlight w:val="white"/>
              </w:rPr>
              <w:lastRenderedPageBreak/>
              <w:t>Carly Strasser</w:t>
            </w:r>
          </w:p>
        </w:tc>
        <w:tc>
          <w:tcPr>
            <w:tcW w:w="2340" w:type="dxa"/>
            <w:tcBorders>
              <w:top w:val="nil"/>
              <w:left w:val="nil"/>
              <w:bottom w:val="nil"/>
              <w:right w:val="nil"/>
            </w:tcBorders>
            <w:tcMar>
              <w:top w:w="100" w:type="dxa"/>
              <w:left w:w="100" w:type="dxa"/>
              <w:bottom w:w="100" w:type="dxa"/>
              <w:right w:w="100" w:type="dxa"/>
            </w:tcMar>
          </w:tcPr>
          <w:p w14:paraId="27FE5CDC" w14:textId="77777777" w:rsidR="00E8126F" w:rsidRDefault="00653540">
            <w:pPr>
              <w:widowControl w:val="0"/>
            </w:pPr>
            <w:r>
              <w:rPr>
                <w:rFonts w:ascii="Calibri" w:eastAsia="Calibri" w:hAnsi="Calibri" w:cs="Calibri"/>
                <w:color w:val="666666"/>
                <w:sz w:val="21"/>
                <w:szCs w:val="21"/>
                <w:highlight w:val="white"/>
              </w:rPr>
              <w:t>Ian Bruno*</w:t>
            </w:r>
          </w:p>
        </w:tc>
        <w:tc>
          <w:tcPr>
            <w:tcW w:w="2340" w:type="dxa"/>
            <w:tcBorders>
              <w:top w:val="nil"/>
              <w:left w:val="nil"/>
              <w:bottom w:val="nil"/>
              <w:right w:val="nil"/>
            </w:tcBorders>
            <w:tcMar>
              <w:top w:w="100" w:type="dxa"/>
              <w:left w:w="100" w:type="dxa"/>
              <w:bottom w:w="100" w:type="dxa"/>
              <w:right w:w="100" w:type="dxa"/>
            </w:tcMar>
          </w:tcPr>
          <w:p w14:paraId="643D3046" w14:textId="77777777" w:rsidR="00E8126F" w:rsidRDefault="00653540">
            <w:pPr>
              <w:widowControl w:val="0"/>
            </w:pPr>
            <w:r>
              <w:rPr>
                <w:rFonts w:ascii="Calibri" w:eastAsia="Calibri" w:hAnsi="Calibri" w:cs="Calibri"/>
                <w:color w:val="666666"/>
                <w:sz w:val="21"/>
                <w:szCs w:val="21"/>
                <w:highlight w:val="white"/>
              </w:rPr>
              <w:t>Luiz Olavo Bonino da Silva Santos</w:t>
            </w:r>
          </w:p>
        </w:tc>
        <w:tc>
          <w:tcPr>
            <w:tcW w:w="2340" w:type="dxa"/>
            <w:tcBorders>
              <w:top w:val="nil"/>
              <w:left w:val="nil"/>
              <w:bottom w:val="nil"/>
              <w:right w:val="nil"/>
            </w:tcBorders>
            <w:tcMar>
              <w:top w:w="100" w:type="dxa"/>
              <w:left w:w="100" w:type="dxa"/>
              <w:bottom w:w="100" w:type="dxa"/>
              <w:right w:w="100" w:type="dxa"/>
            </w:tcMar>
          </w:tcPr>
          <w:p w14:paraId="1A71CACB" w14:textId="77777777" w:rsidR="00E8126F" w:rsidRDefault="00653540">
            <w:pPr>
              <w:widowControl w:val="0"/>
            </w:pPr>
            <w:r>
              <w:rPr>
                <w:rFonts w:ascii="Calibri" w:eastAsia="Calibri" w:hAnsi="Calibri" w:cs="Calibri"/>
                <w:color w:val="666666"/>
                <w:sz w:val="21"/>
                <w:szCs w:val="21"/>
                <w:highlight w:val="white"/>
              </w:rPr>
              <w:t>Robert Arko</w:t>
            </w:r>
          </w:p>
        </w:tc>
      </w:tr>
      <w:tr w:rsidR="00E8126F" w14:paraId="4E7FD53E" w14:textId="77777777">
        <w:tc>
          <w:tcPr>
            <w:tcW w:w="2340" w:type="dxa"/>
            <w:tcBorders>
              <w:top w:val="nil"/>
              <w:left w:val="nil"/>
              <w:bottom w:val="nil"/>
              <w:right w:val="nil"/>
            </w:tcBorders>
            <w:tcMar>
              <w:top w:w="100" w:type="dxa"/>
              <w:left w:w="100" w:type="dxa"/>
              <w:bottom w:w="100" w:type="dxa"/>
              <w:right w:w="100" w:type="dxa"/>
            </w:tcMar>
          </w:tcPr>
          <w:p w14:paraId="5DB063E9" w14:textId="77777777" w:rsidR="00E8126F" w:rsidRDefault="00653540">
            <w:pPr>
              <w:widowControl w:val="0"/>
            </w:pPr>
            <w:r>
              <w:rPr>
                <w:rFonts w:ascii="Calibri" w:eastAsia="Calibri" w:hAnsi="Calibri" w:cs="Calibri"/>
                <w:color w:val="666666"/>
                <w:sz w:val="21"/>
                <w:szCs w:val="21"/>
                <w:highlight w:val="white"/>
              </w:rPr>
              <w:t>Carole Goble</w:t>
            </w:r>
          </w:p>
        </w:tc>
        <w:tc>
          <w:tcPr>
            <w:tcW w:w="2340" w:type="dxa"/>
            <w:tcBorders>
              <w:top w:val="nil"/>
              <w:left w:val="nil"/>
              <w:bottom w:val="nil"/>
              <w:right w:val="nil"/>
            </w:tcBorders>
            <w:tcMar>
              <w:top w:w="100" w:type="dxa"/>
              <w:left w:w="100" w:type="dxa"/>
              <w:bottom w:w="100" w:type="dxa"/>
              <w:right w:w="100" w:type="dxa"/>
            </w:tcMar>
          </w:tcPr>
          <w:p w14:paraId="52F5C17A" w14:textId="77777777" w:rsidR="00E8126F" w:rsidRDefault="00653540">
            <w:pPr>
              <w:widowControl w:val="0"/>
            </w:pPr>
            <w:r>
              <w:rPr>
                <w:rFonts w:ascii="Calibri" w:eastAsia="Calibri" w:hAnsi="Calibri" w:cs="Calibri"/>
                <w:color w:val="666666"/>
                <w:sz w:val="21"/>
                <w:szCs w:val="21"/>
                <w:highlight w:val="white"/>
              </w:rPr>
              <w:t>Ingrid Dillo*</w:t>
            </w:r>
          </w:p>
        </w:tc>
        <w:tc>
          <w:tcPr>
            <w:tcW w:w="2340" w:type="dxa"/>
            <w:tcBorders>
              <w:top w:val="nil"/>
              <w:left w:val="nil"/>
              <w:bottom w:val="nil"/>
              <w:right w:val="nil"/>
            </w:tcBorders>
            <w:tcMar>
              <w:top w:w="100" w:type="dxa"/>
              <w:left w:w="100" w:type="dxa"/>
              <w:bottom w:w="100" w:type="dxa"/>
              <w:right w:w="100" w:type="dxa"/>
            </w:tcMar>
          </w:tcPr>
          <w:p w14:paraId="390C4B60" w14:textId="77777777" w:rsidR="00E8126F" w:rsidRDefault="00653540">
            <w:pPr>
              <w:widowControl w:val="0"/>
            </w:pPr>
            <w:r>
              <w:rPr>
                <w:rFonts w:ascii="Calibri" w:eastAsia="Calibri" w:hAnsi="Calibri" w:cs="Calibri"/>
                <w:color w:val="666666"/>
                <w:sz w:val="21"/>
                <w:szCs w:val="21"/>
                <w:highlight w:val="white"/>
              </w:rPr>
              <w:t>Lyubomir Penev</w:t>
            </w:r>
          </w:p>
        </w:tc>
        <w:tc>
          <w:tcPr>
            <w:tcW w:w="2340" w:type="dxa"/>
            <w:tcBorders>
              <w:top w:val="nil"/>
              <w:left w:val="nil"/>
              <w:bottom w:val="nil"/>
              <w:right w:val="nil"/>
            </w:tcBorders>
            <w:tcMar>
              <w:top w:w="100" w:type="dxa"/>
              <w:left w:w="100" w:type="dxa"/>
              <w:bottom w:w="100" w:type="dxa"/>
              <w:right w:w="100" w:type="dxa"/>
            </w:tcMar>
          </w:tcPr>
          <w:p w14:paraId="27B4647D" w14:textId="77777777" w:rsidR="00E8126F" w:rsidRDefault="00653540">
            <w:pPr>
              <w:widowControl w:val="0"/>
            </w:pPr>
            <w:r>
              <w:rPr>
                <w:rFonts w:ascii="Calibri" w:eastAsia="Calibri" w:hAnsi="Calibri" w:cs="Calibri"/>
                <w:color w:val="666666"/>
                <w:sz w:val="21"/>
                <w:szCs w:val="21"/>
                <w:highlight w:val="white"/>
              </w:rPr>
              <w:t>Rorie Edmunds*</w:t>
            </w:r>
          </w:p>
        </w:tc>
      </w:tr>
      <w:tr w:rsidR="00E8126F" w14:paraId="3FEA1D3C" w14:textId="77777777">
        <w:tc>
          <w:tcPr>
            <w:tcW w:w="2340" w:type="dxa"/>
            <w:tcBorders>
              <w:top w:val="nil"/>
              <w:left w:val="nil"/>
              <w:bottom w:val="nil"/>
              <w:right w:val="nil"/>
            </w:tcBorders>
            <w:tcMar>
              <w:top w:w="100" w:type="dxa"/>
              <w:left w:w="100" w:type="dxa"/>
              <w:bottom w:w="100" w:type="dxa"/>
              <w:right w:w="100" w:type="dxa"/>
            </w:tcMar>
          </w:tcPr>
          <w:p w14:paraId="19249074" w14:textId="77777777" w:rsidR="00E8126F" w:rsidRDefault="00653540">
            <w:pPr>
              <w:widowControl w:val="0"/>
            </w:pPr>
            <w:r>
              <w:rPr>
                <w:rFonts w:ascii="Calibri" w:eastAsia="Calibri" w:hAnsi="Calibri" w:cs="Calibri"/>
                <w:color w:val="666666"/>
                <w:sz w:val="21"/>
                <w:szCs w:val="21"/>
                <w:highlight w:val="white"/>
              </w:rPr>
              <w:t>Caroline Martin</w:t>
            </w:r>
          </w:p>
        </w:tc>
        <w:tc>
          <w:tcPr>
            <w:tcW w:w="2340" w:type="dxa"/>
            <w:tcBorders>
              <w:top w:val="nil"/>
              <w:left w:val="nil"/>
              <w:bottom w:val="nil"/>
              <w:right w:val="nil"/>
            </w:tcBorders>
            <w:tcMar>
              <w:top w:w="100" w:type="dxa"/>
              <w:left w:w="100" w:type="dxa"/>
              <w:bottom w:w="100" w:type="dxa"/>
              <w:right w:w="100" w:type="dxa"/>
            </w:tcMar>
          </w:tcPr>
          <w:p w14:paraId="2AC67F52" w14:textId="77777777" w:rsidR="00E8126F" w:rsidRDefault="00653540">
            <w:pPr>
              <w:widowControl w:val="0"/>
            </w:pPr>
            <w:r>
              <w:rPr>
                <w:rFonts w:ascii="Calibri" w:eastAsia="Calibri" w:hAnsi="Calibri" w:cs="Calibri"/>
                <w:color w:val="666666"/>
                <w:sz w:val="21"/>
                <w:szCs w:val="21"/>
                <w:highlight w:val="white"/>
              </w:rPr>
              <w:t>Jamus Collier</w:t>
            </w:r>
          </w:p>
        </w:tc>
        <w:tc>
          <w:tcPr>
            <w:tcW w:w="2340" w:type="dxa"/>
            <w:tcBorders>
              <w:top w:val="nil"/>
              <w:left w:val="nil"/>
              <w:bottom w:val="nil"/>
              <w:right w:val="nil"/>
            </w:tcBorders>
            <w:tcMar>
              <w:top w:w="100" w:type="dxa"/>
              <w:left w:w="100" w:type="dxa"/>
              <w:bottom w:w="100" w:type="dxa"/>
              <w:right w:w="100" w:type="dxa"/>
            </w:tcMar>
          </w:tcPr>
          <w:p w14:paraId="1C0F23B7" w14:textId="77777777" w:rsidR="00E8126F" w:rsidRDefault="00653540">
            <w:pPr>
              <w:widowControl w:val="0"/>
            </w:pPr>
            <w:r>
              <w:rPr>
                <w:rFonts w:ascii="Calibri" w:eastAsia="Calibri" w:hAnsi="Calibri" w:cs="Calibri"/>
                <w:color w:val="666666"/>
                <w:sz w:val="21"/>
                <w:szCs w:val="21"/>
                <w:highlight w:val="white"/>
              </w:rPr>
              <w:t>Mark Donoghue</w:t>
            </w:r>
          </w:p>
        </w:tc>
        <w:tc>
          <w:tcPr>
            <w:tcW w:w="2340" w:type="dxa"/>
            <w:tcBorders>
              <w:top w:val="nil"/>
              <w:left w:val="nil"/>
              <w:bottom w:val="nil"/>
              <w:right w:val="nil"/>
            </w:tcBorders>
            <w:tcMar>
              <w:top w:w="100" w:type="dxa"/>
              <w:left w:w="100" w:type="dxa"/>
              <w:bottom w:w="100" w:type="dxa"/>
              <w:right w:w="100" w:type="dxa"/>
            </w:tcMar>
          </w:tcPr>
          <w:p w14:paraId="0BD9DC6E" w14:textId="77777777" w:rsidR="00E8126F" w:rsidRDefault="00653540">
            <w:pPr>
              <w:widowControl w:val="0"/>
            </w:pPr>
            <w:r>
              <w:rPr>
                <w:rFonts w:ascii="Calibri" w:eastAsia="Calibri" w:hAnsi="Calibri" w:cs="Calibri"/>
                <w:color w:val="666666"/>
                <w:sz w:val="21"/>
                <w:szCs w:val="21"/>
                <w:highlight w:val="white"/>
              </w:rPr>
              <w:t>Sarah Callaghan*</w:t>
            </w:r>
          </w:p>
        </w:tc>
      </w:tr>
      <w:tr w:rsidR="00E8126F" w14:paraId="54F3E172" w14:textId="77777777">
        <w:tc>
          <w:tcPr>
            <w:tcW w:w="2340" w:type="dxa"/>
            <w:tcBorders>
              <w:top w:val="nil"/>
              <w:left w:val="nil"/>
              <w:bottom w:val="nil"/>
              <w:right w:val="nil"/>
            </w:tcBorders>
            <w:tcMar>
              <w:top w:w="100" w:type="dxa"/>
              <w:left w:w="100" w:type="dxa"/>
              <w:bottom w:w="100" w:type="dxa"/>
              <w:right w:w="100" w:type="dxa"/>
            </w:tcMar>
          </w:tcPr>
          <w:p w14:paraId="13706642" w14:textId="77777777" w:rsidR="00E8126F" w:rsidRDefault="00653540">
            <w:pPr>
              <w:widowControl w:val="0"/>
            </w:pPr>
            <w:r>
              <w:rPr>
                <w:rFonts w:ascii="Calibri" w:eastAsia="Calibri" w:hAnsi="Calibri" w:cs="Calibri"/>
                <w:color w:val="666666"/>
                <w:sz w:val="21"/>
                <w:szCs w:val="21"/>
                <w:highlight w:val="white"/>
              </w:rPr>
              <w:t>Claire Austin</w:t>
            </w:r>
          </w:p>
        </w:tc>
        <w:tc>
          <w:tcPr>
            <w:tcW w:w="2340" w:type="dxa"/>
            <w:tcBorders>
              <w:top w:val="nil"/>
              <w:left w:val="nil"/>
              <w:bottom w:val="nil"/>
              <w:right w:val="nil"/>
            </w:tcBorders>
            <w:tcMar>
              <w:top w:w="100" w:type="dxa"/>
              <w:left w:w="100" w:type="dxa"/>
              <w:bottom w:w="100" w:type="dxa"/>
              <w:right w:w="100" w:type="dxa"/>
            </w:tcMar>
          </w:tcPr>
          <w:p w14:paraId="5A0FB530" w14:textId="77777777" w:rsidR="00E8126F" w:rsidRDefault="00653540">
            <w:pPr>
              <w:widowControl w:val="0"/>
            </w:pPr>
            <w:r>
              <w:rPr>
                <w:rFonts w:ascii="Calibri" w:eastAsia="Calibri" w:hAnsi="Calibri" w:cs="Calibri"/>
                <w:color w:val="666666"/>
                <w:sz w:val="21"/>
                <w:szCs w:val="21"/>
                <w:highlight w:val="white"/>
              </w:rPr>
              <w:t>Jeffrey Grethe</w:t>
            </w:r>
          </w:p>
        </w:tc>
        <w:tc>
          <w:tcPr>
            <w:tcW w:w="2340" w:type="dxa"/>
            <w:tcBorders>
              <w:top w:val="nil"/>
              <w:left w:val="nil"/>
              <w:bottom w:val="nil"/>
              <w:right w:val="nil"/>
            </w:tcBorders>
            <w:tcMar>
              <w:top w:w="100" w:type="dxa"/>
              <w:left w:w="100" w:type="dxa"/>
              <w:bottom w:w="100" w:type="dxa"/>
              <w:right w:w="100" w:type="dxa"/>
            </w:tcMar>
          </w:tcPr>
          <w:p w14:paraId="27A6C9A8" w14:textId="77777777" w:rsidR="00E8126F" w:rsidRDefault="00653540">
            <w:pPr>
              <w:widowControl w:val="0"/>
            </w:pPr>
            <w:r>
              <w:rPr>
                <w:rFonts w:ascii="Calibri" w:eastAsia="Calibri" w:hAnsi="Calibri" w:cs="Calibri"/>
                <w:color w:val="666666"/>
                <w:sz w:val="21"/>
                <w:szCs w:val="21"/>
                <w:highlight w:val="white"/>
              </w:rPr>
              <w:t>Martin Fenner*</w:t>
            </w:r>
          </w:p>
        </w:tc>
        <w:tc>
          <w:tcPr>
            <w:tcW w:w="2340" w:type="dxa"/>
            <w:tcBorders>
              <w:top w:val="nil"/>
              <w:left w:val="nil"/>
              <w:bottom w:val="nil"/>
              <w:right w:val="nil"/>
            </w:tcBorders>
            <w:tcMar>
              <w:top w:w="100" w:type="dxa"/>
              <w:left w:w="100" w:type="dxa"/>
              <w:bottom w:w="100" w:type="dxa"/>
              <w:right w:w="100" w:type="dxa"/>
            </w:tcMar>
          </w:tcPr>
          <w:p w14:paraId="4492F5FE" w14:textId="77777777" w:rsidR="00E8126F" w:rsidRDefault="00653540">
            <w:pPr>
              <w:widowControl w:val="0"/>
            </w:pPr>
            <w:r>
              <w:rPr>
                <w:rFonts w:ascii="Calibri" w:eastAsia="Calibri" w:hAnsi="Calibri" w:cs="Calibri"/>
                <w:color w:val="666666"/>
                <w:sz w:val="21"/>
                <w:szCs w:val="21"/>
                <w:highlight w:val="white"/>
              </w:rPr>
              <w:t>Sheila Morrissey</w:t>
            </w:r>
          </w:p>
        </w:tc>
      </w:tr>
      <w:tr w:rsidR="00E8126F" w14:paraId="530433EC" w14:textId="77777777">
        <w:tc>
          <w:tcPr>
            <w:tcW w:w="2340" w:type="dxa"/>
            <w:tcBorders>
              <w:top w:val="nil"/>
              <w:left w:val="nil"/>
              <w:bottom w:val="nil"/>
              <w:right w:val="nil"/>
            </w:tcBorders>
            <w:tcMar>
              <w:top w:w="100" w:type="dxa"/>
              <w:left w:w="100" w:type="dxa"/>
              <w:bottom w:w="100" w:type="dxa"/>
              <w:right w:w="100" w:type="dxa"/>
            </w:tcMar>
          </w:tcPr>
          <w:p w14:paraId="2B1CB9E4" w14:textId="77777777" w:rsidR="00E8126F" w:rsidRDefault="00653540">
            <w:pPr>
              <w:widowControl w:val="0"/>
            </w:pPr>
            <w:r>
              <w:rPr>
                <w:rFonts w:ascii="Calibri" w:eastAsia="Calibri" w:hAnsi="Calibri" w:cs="Calibri"/>
                <w:color w:val="666666"/>
                <w:sz w:val="21"/>
                <w:szCs w:val="21"/>
                <w:highlight w:val="white"/>
              </w:rPr>
              <w:t>Claudio Atzori</w:t>
            </w:r>
          </w:p>
        </w:tc>
        <w:tc>
          <w:tcPr>
            <w:tcW w:w="2340" w:type="dxa"/>
            <w:tcBorders>
              <w:top w:val="nil"/>
              <w:left w:val="nil"/>
              <w:bottom w:val="nil"/>
              <w:right w:val="nil"/>
            </w:tcBorders>
            <w:tcMar>
              <w:top w:w="100" w:type="dxa"/>
              <w:left w:w="100" w:type="dxa"/>
              <w:bottom w:w="100" w:type="dxa"/>
              <w:right w:w="100" w:type="dxa"/>
            </w:tcMar>
          </w:tcPr>
          <w:p w14:paraId="081433C0" w14:textId="77777777" w:rsidR="00E8126F" w:rsidRDefault="00653540">
            <w:pPr>
              <w:widowControl w:val="0"/>
            </w:pPr>
            <w:r>
              <w:rPr>
                <w:rFonts w:ascii="Calibri" w:eastAsia="Calibri" w:hAnsi="Calibri" w:cs="Calibri"/>
                <w:color w:val="666666"/>
                <w:sz w:val="21"/>
                <w:szCs w:val="21"/>
                <w:highlight w:val="white"/>
              </w:rPr>
              <w:t>Jingbo Wang</w:t>
            </w:r>
          </w:p>
        </w:tc>
        <w:tc>
          <w:tcPr>
            <w:tcW w:w="2340" w:type="dxa"/>
            <w:tcBorders>
              <w:top w:val="nil"/>
              <w:left w:val="nil"/>
              <w:bottom w:val="nil"/>
              <w:right w:val="nil"/>
            </w:tcBorders>
            <w:tcMar>
              <w:top w:w="100" w:type="dxa"/>
              <w:left w:w="100" w:type="dxa"/>
              <w:bottom w:w="100" w:type="dxa"/>
              <w:right w:w="100" w:type="dxa"/>
            </w:tcMar>
          </w:tcPr>
          <w:p w14:paraId="0A121103" w14:textId="77777777" w:rsidR="00E8126F" w:rsidRDefault="00653540">
            <w:pPr>
              <w:widowControl w:val="0"/>
            </w:pPr>
            <w:r>
              <w:rPr>
                <w:rFonts w:ascii="Calibri" w:eastAsia="Calibri" w:hAnsi="Calibri" w:cs="Calibri"/>
                <w:color w:val="666666"/>
                <w:sz w:val="21"/>
                <w:szCs w:val="21"/>
                <w:highlight w:val="white"/>
              </w:rPr>
              <w:t>Martina Stockhause*</w:t>
            </w:r>
          </w:p>
        </w:tc>
        <w:tc>
          <w:tcPr>
            <w:tcW w:w="2340" w:type="dxa"/>
            <w:tcBorders>
              <w:top w:val="nil"/>
              <w:left w:val="nil"/>
              <w:bottom w:val="nil"/>
              <w:right w:val="nil"/>
            </w:tcBorders>
            <w:tcMar>
              <w:top w:w="100" w:type="dxa"/>
              <w:left w:w="100" w:type="dxa"/>
              <w:bottom w:w="100" w:type="dxa"/>
              <w:right w:w="100" w:type="dxa"/>
            </w:tcMar>
          </w:tcPr>
          <w:p w14:paraId="722365C5" w14:textId="77777777" w:rsidR="00E8126F" w:rsidRDefault="00653540">
            <w:pPr>
              <w:widowControl w:val="0"/>
            </w:pPr>
            <w:r>
              <w:rPr>
                <w:rFonts w:ascii="Calibri" w:eastAsia="Calibri" w:hAnsi="Calibri" w:cs="Calibri"/>
                <w:color w:val="666666"/>
                <w:sz w:val="21"/>
                <w:szCs w:val="21"/>
                <w:highlight w:val="white"/>
              </w:rPr>
              <w:t>Siddeswara Guru</w:t>
            </w:r>
          </w:p>
        </w:tc>
      </w:tr>
      <w:tr w:rsidR="00E8126F" w14:paraId="56D71E2D" w14:textId="77777777">
        <w:tc>
          <w:tcPr>
            <w:tcW w:w="2340" w:type="dxa"/>
            <w:tcBorders>
              <w:top w:val="nil"/>
              <w:left w:val="nil"/>
              <w:bottom w:val="nil"/>
              <w:right w:val="nil"/>
            </w:tcBorders>
            <w:tcMar>
              <w:top w:w="100" w:type="dxa"/>
              <w:left w:w="100" w:type="dxa"/>
              <w:bottom w:w="100" w:type="dxa"/>
              <w:right w:w="100" w:type="dxa"/>
            </w:tcMar>
          </w:tcPr>
          <w:p w14:paraId="6348BA3A" w14:textId="77777777" w:rsidR="00E8126F" w:rsidRDefault="00653540">
            <w:pPr>
              <w:widowControl w:val="0"/>
            </w:pPr>
            <w:r>
              <w:rPr>
                <w:rFonts w:ascii="Calibri" w:eastAsia="Calibri" w:hAnsi="Calibri" w:cs="Calibri"/>
                <w:color w:val="666666"/>
                <w:sz w:val="21"/>
                <w:szCs w:val="21"/>
                <w:highlight w:val="white"/>
              </w:rPr>
              <w:t>Dan Valen</w:t>
            </w:r>
          </w:p>
        </w:tc>
        <w:tc>
          <w:tcPr>
            <w:tcW w:w="2340" w:type="dxa"/>
            <w:tcBorders>
              <w:top w:val="nil"/>
              <w:left w:val="nil"/>
              <w:bottom w:val="nil"/>
              <w:right w:val="nil"/>
            </w:tcBorders>
            <w:tcMar>
              <w:top w:w="100" w:type="dxa"/>
              <w:left w:w="100" w:type="dxa"/>
              <w:bottom w:w="100" w:type="dxa"/>
              <w:right w:w="100" w:type="dxa"/>
            </w:tcMar>
          </w:tcPr>
          <w:p w14:paraId="781D2692" w14:textId="77777777" w:rsidR="00E8126F" w:rsidRDefault="00653540">
            <w:pPr>
              <w:widowControl w:val="0"/>
            </w:pPr>
            <w:r>
              <w:rPr>
                <w:rFonts w:ascii="Calibri" w:eastAsia="Calibri" w:hAnsi="Calibri" w:cs="Calibri"/>
                <w:color w:val="666666"/>
                <w:sz w:val="21"/>
                <w:szCs w:val="21"/>
                <w:highlight w:val="white"/>
              </w:rPr>
              <w:t>Jo McEntyre</w:t>
            </w:r>
          </w:p>
        </w:tc>
        <w:tc>
          <w:tcPr>
            <w:tcW w:w="2340" w:type="dxa"/>
            <w:tcBorders>
              <w:top w:val="nil"/>
              <w:left w:val="nil"/>
              <w:bottom w:val="nil"/>
              <w:right w:val="nil"/>
            </w:tcBorders>
            <w:tcMar>
              <w:top w:w="100" w:type="dxa"/>
              <w:left w:w="100" w:type="dxa"/>
              <w:bottom w:w="100" w:type="dxa"/>
              <w:right w:w="100" w:type="dxa"/>
            </w:tcMar>
          </w:tcPr>
          <w:p w14:paraId="115DB7A3" w14:textId="77777777" w:rsidR="00E8126F" w:rsidRDefault="00653540">
            <w:pPr>
              <w:widowControl w:val="0"/>
            </w:pPr>
            <w:r>
              <w:rPr>
                <w:rFonts w:ascii="Calibri" w:eastAsia="Calibri" w:hAnsi="Calibri" w:cs="Calibri"/>
                <w:color w:val="666666"/>
                <w:sz w:val="21"/>
                <w:szCs w:val="21"/>
                <w:highlight w:val="white"/>
              </w:rPr>
              <w:t>Michael Diepenbroek*</w:t>
            </w:r>
          </w:p>
        </w:tc>
        <w:tc>
          <w:tcPr>
            <w:tcW w:w="2340" w:type="dxa"/>
            <w:tcBorders>
              <w:top w:val="nil"/>
              <w:left w:val="nil"/>
              <w:bottom w:val="nil"/>
              <w:right w:val="nil"/>
            </w:tcBorders>
            <w:tcMar>
              <w:top w:w="100" w:type="dxa"/>
              <w:left w:w="100" w:type="dxa"/>
              <w:bottom w:w="100" w:type="dxa"/>
              <w:right w:w="100" w:type="dxa"/>
            </w:tcMar>
          </w:tcPr>
          <w:p w14:paraId="535AA0C9" w14:textId="77777777" w:rsidR="00E8126F" w:rsidRDefault="00653540">
            <w:pPr>
              <w:widowControl w:val="0"/>
            </w:pPr>
            <w:r>
              <w:rPr>
                <w:rFonts w:ascii="Calibri" w:eastAsia="Calibri" w:hAnsi="Calibri" w:cs="Calibri"/>
                <w:color w:val="666666"/>
                <w:sz w:val="21"/>
                <w:szCs w:val="21"/>
                <w:highlight w:val="white"/>
              </w:rPr>
              <w:t>Simon Hodson*</w:t>
            </w:r>
          </w:p>
        </w:tc>
      </w:tr>
      <w:tr w:rsidR="00E8126F" w14:paraId="0EA4170A" w14:textId="77777777">
        <w:tc>
          <w:tcPr>
            <w:tcW w:w="2340" w:type="dxa"/>
            <w:tcBorders>
              <w:top w:val="nil"/>
              <w:left w:val="nil"/>
              <w:bottom w:val="nil"/>
              <w:right w:val="nil"/>
            </w:tcBorders>
            <w:tcMar>
              <w:top w:w="100" w:type="dxa"/>
              <w:left w:w="100" w:type="dxa"/>
              <w:bottom w:w="100" w:type="dxa"/>
              <w:right w:w="100" w:type="dxa"/>
            </w:tcMar>
          </w:tcPr>
          <w:p w14:paraId="15AD986A" w14:textId="77777777" w:rsidR="00E8126F" w:rsidRDefault="00653540">
            <w:pPr>
              <w:widowControl w:val="0"/>
            </w:pPr>
            <w:r>
              <w:rPr>
                <w:rFonts w:ascii="Calibri" w:eastAsia="Calibri" w:hAnsi="Calibri" w:cs="Calibri"/>
                <w:color w:val="666666"/>
                <w:sz w:val="21"/>
                <w:szCs w:val="21"/>
                <w:highlight w:val="white"/>
              </w:rPr>
              <w:t>David Martinsen</w:t>
            </w:r>
          </w:p>
        </w:tc>
        <w:tc>
          <w:tcPr>
            <w:tcW w:w="2340" w:type="dxa"/>
            <w:tcBorders>
              <w:top w:val="nil"/>
              <w:left w:val="nil"/>
              <w:bottom w:val="nil"/>
              <w:right w:val="nil"/>
            </w:tcBorders>
            <w:tcMar>
              <w:top w:w="100" w:type="dxa"/>
              <w:left w:w="100" w:type="dxa"/>
              <w:bottom w:w="100" w:type="dxa"/>
              <w:right w:w="100" w:type="dxa"/>
            </w:tcMar>
          </w:tcPr>
          <w:p w14:paraId="3FBCDBD8" w14:textId="77777777" w:rsidR="00E8126F" w:rsidRDefault="00653540">
            <w:pPr>
              <w:widowControl w:val="0"/>
            </w:pPr>
            <w:r>
              <w:rPr>
                <w:rFonts w:ascii="Calibri" w:eastAsia="Calibri" w:hAnsi="Calibri" w:cs="Calibri"/>
                <w:color w:val="666666"/>
                <w:sz w:val="21"/>
                <w:szCs w:val="21"/>
                <w:highlight w:val="white"/>
              </w:rPr>
              <w:t>Joachim Wackerow</w:t>
            </w:r>
          </w:p>
        </w:tc>
        <w:tc>
          <w:tcPr>
            <w:tcW w:w="2340" w:type="dxa"/>
            <w:tcBorders>
              <w:top w:val="nil"/>
              <w:left w:val="nil"/>
              <w:bottom w:val="nil"/>
              <w:right w:val="nil"/>
            </w:tcBorders>
            <w:tcMar>
              <w:top w:w="100" w:type="dxa"/>
              <w:left w:w="100" w:type="dxa"/>
              <w:bottom w:w="100" w:type="dxa"/>
              <w:right w:w="100" w:type="dxa"/>
            </w:tcMar>
          </w:tcPr>
          <w:p w14:paraId="4B4AD64B" w14:textId="77777777" w:rsidR="00E8126F" w:rsidRDefault="00653540">
            <w:pPr>
              <w:widowControl w:val="0"/>
            </w:pPr>
            <w:r>
              <w:rPr>
                <w:rFonts w:ascii="Calibri" w:eastAsia="Calibri" w:hAnsi="Calibri" w:cs="Calibri"/>
                <w:color w:val="666666"/>
                <w:sz w:val="21"/>
                <w:szCs w:val="21"/>
                <w:highlight w:val="white"/>
              </w:rPr>
              <w:t>Mohan Ramamurthy</w:t>
            </w:r>
          </w:p>
        </w:tc>
        <w:tc>
          <w:tcPr>
            <w:tcW w:w="2340" w:type="dxa"/>
            <w:tcBorders>
              <w:top w:val="nil"/>
              <w:left w:val="nil"/>
              <w:bottom w:val="nil"/>
              <w:right w:val="nil"/>
            </w:tcBorders>
            <w:tcMar>
              <w:top w:w="100" w:type="dxa"/>
              <w:left w:w="100" w:type="dxa"/>
              <w:bottom w:w="100" w:type="dxa"/>
              <w:right w:w="100" w:type="dxa"/>
            </w:tcMar>
          </w:tcPr>
          <w:p w14:paraId="110BD982" w14:textId="77777777" w:rsidR="00E8126F" w:rsidRDefault="00653540">
            <w:pPr>
              <w:widowControl w:val="0"/>
            </w:pPr>
            <w:r>
              <w:rPr>
                <w:rFonts w:ascii="Calibri" w:eastAsia="Calibri" w:hAnsi="Calibri" w:cs="Calibri"/>
                <w:color w:val="666666"/>
                <w:sz w:val="21"/>
                <w:szCs w:val="21"/>
                <w:highlight w:val="white"/>
              </w:rPr>
              <w:t>Suenje Dallmeier-Tiessen</w:t>
            </w:r>
          </w:p>
        </w:tc>
      </w:tr>
      <w:tr w:rsidR="00E8126F" w14:paraId="0D530083" w14:textId="77777777">
        <w:tc>
          <w:tcPr>
            <w:tcW w:w="2340" w:type="dxa"/>
            <w:tcBorders>
              <w:top w:val="nil"/>
              <w:left w:val="nil"/>
              <w:bottom w:val="nil"/>
              <w:right w:val="nil"/>
            </w:tcBorders>
            <w:tcMar>
              <w:top w:w="100" w:type="dxa"/>
              <w:left w:w="100" w:type="dxa"/>
              <w:bottom w:w="100" w:type="dxa"/>
              <w:right w:w="100" w:type="dxa"/>
            </w:tcMar>
          </w:tcPr>
          <w:p w14:paraId="481480B2" w14:textId="77777777" w:rsidR="00E8126F" w:rsidRDefault="00653540">
            <w:pPr>
              <w:widowControl w:val="0"/>
            </w:pPr>
            <w:r>
              <w:rPr>
                <w:rFonts w:ascii="Calibri" w:eastAsia="Calibri" w:hAnsi="Calibri" w:cs="Calibri"/>
                <w:color w:val="666666"/>
                <w:sz w:val="21"/>
                <w:szCs w:val="21"/>
                <w:highlight w:val="white"/>
              </w:rPr>
              <w:t>David Arctur</w:t>
            </w:r>
          </w:p>
        </w:tc>
        <w:tc>
          <w:tcPr>
            <w:tcW w:w="2340" w:type="dxa"/>
            <w:tcBorders>
              <w:top w:val="nil"/>
              <w:left w:val="nil"/>
              <w:bottom w:val="nil"/>
              <w:right w:val="nil"/>
            </w:tcBorders>
            <w:tcMar>
              <w:top w:w="100" w:type="dxa"/>
              <w:left w:w="100" w:type="dxa"/>
              <w:bottom w:w="100" w:type="dxa"/>
              <w:right w:w="100" w:type="dxa"/>
            </w:tcMar>
          </w:tcPr>
          <w:p w14:paraId="559A10FE" w14:textId="77777777" w:rsidR="00E8126F" w:rsidRDefault="00653540">
            <w:pPr>
              <w:widowControl w:val="0"/>
            </w:pPr>
            <w:r>
              <w:rPr>
                <w:rFonts w:ascii="Calibri" w:eastAsia="Calibri" w:hAnsi="Calibri" w:cs="Calibri"/>
                <w:color w:val="666666"/>
                <w:sz w:val="21"/>
                <w:szCs w:val="21"/>
                <w:highlight w:val="white"/>
              </w:rPr>
              <w:t>Johanna Schwarz</w:t>
            </w:r>
          </w:p>
        </w:tc>
        <w:tc>
          <w:tcPr>
            <w:tcW w:w="2340" w:type="dxa"/>
            <w:tcBorders>
              <w:top w:val="nil"/>
              <w:left w:val="nil"/>
              <w:bottom w:val="nil"/>
              <w:right w:val="nil"/>
            </w:tcBorders>
            <w:tcMar>
              <w:top w:w="100" w:type="dxa"/>
              <w:left w:w="100" w:type="dxa"/>
              <w:bottom w:w="100" w:type="dxa"/>
              <w:right w:w="100" w:type="dxa"/>
            </w:tcMar>
          </w:tcPr>
          <w:p w14:paraId="128AC26F" w14:textId="77777777" w:rsidR="00E8126F" w:rsidRDefault="00653540">
            <w:pPr>
              <w:widowControl w:val="0"/>
            </w:pPr>
            <w:r>
              <w:rPr>
                <w:rFonts w:ascii="Calibri" w:eastAsia="Calibri" w:hAnsi="Calibri" w:cs="Calibri"/>
                <w:color w:val="666666"/>
                <w:sz w:val="21"/>
                <w:szCs w:val="21"/>
                <w:highlight w:val="white"/>
              </w:rPr>
              <w:t>Mustapha Mokrane*</w:t>
            </w:r>
          </w:p>
        </w:tc>
        <w:tc>
          <w:tcPr>
            <w:tcW w:w="2340" w:type="dxa"/>
            <w:tcBorders>
              <w:top w:val="nil"/>
              <w:left w:val="nil"/>
              <w:bottom w:val="nil"/>
              <w:right w:val="nil"/>
            </w:tcBorders>
            <w:tcMar>
              <w:top w:w="100" w:type="dxa"/>
              <w:left w:w="100" w:type="dxa"/>
              <w:bottom w:w="100" w:type="dxa"/>
              <w:right w:w="100" w:type="dxa"/>
            </w:tcMar>
          </w:tcPr>
          <w:p w14:paraId="7051CDD9" w14:textId="77777777" w:rsidR="00E8126F" w:rsidRDefault="00653540">
            <w:pPr>
              <w:widowControl w:val="0"/>
            </w:pPr>
            <w:r>
              <w:rPr>
                <w:rFonts w:ascii="Calibri" w:eastAsia="Calibri" w:hAnsi="Calibri" w:cs="Calibri"/>
                <w:color w:val="666666"/>
                <w:sz w:val="21"/>
                <w:szCs w:val="21"/>
                <w:highlight w:val="white"/>
              </w:rPr>
              <w:t>Tim DiLauro</w:t>
            </w:r>
          </w:p>
        </w:tc>
      </w:tr>
      <w:tr w:rsidR="00E8126F" w14:paraId="6E0F3F1E" w14:textId="77777777">
        <w:tc>
          <w:tcPr>
            <w:tcW w:w="2340" w:type="dxa"/>
            <w:tcBorders>
              <w:top w:val="nil"/>
              <w:left w:val="nil"/>
              <w:bottom w:val="nil"/>
              <w:right w:val="nil"/>
            </w:tcBorders>
            <w:tcMar>
              <w:top w:w="100" w:type="dxa"/>
              <w:left w:w="100" w:type="dxa"/>
              <w:bottom w:w="100" w:type="dxa"/>
              <w:right w:w="100" w:type="dxa"/>
            </w:tcMar>
          </w:tcPr>
          <w:p w14:paraId="44474CAC" w14:textId="77777777" w:rsidR="00E8126F" w:rsidRDefault="00653540">
            <w:pPr>
              <w:widowControl w:val="0"/>
            </w:pPr>
            <w:r>
              <w:rPr>
                <w:rFonts w:ascii="Calibri" w:eastAsia="Calibri" w:hAnsi="Calibri" w:cs="Calibri"/>
                <w:color w:val="666666"/>
                <w:sz w:val="21"/>
                <w:szCs w:val="21"/>
                <w:highlight w:val="white"/>
              </w:rPr>
              <w:t>Donatella Castelli</w:t>
            </w:r>
          </w:p>
        </w:tc>
        <w:tc>
          <w:tcPr>
            <w:tcW w:w="2340" w:type="dxa"/>
            <w:tcBorders>
              <w:top w:val="nil"/>
              <w:left w:val="nil"/>
              <w:bottom w:val="nil"/>
              <w:right w:val="nil"/>
            </w:tcBorders>
            <w:tcMar>
              <w:top w:w="100" w:type="dxa"/>
              <w:left w:w="100" w:type="dxa"/>
              <w:bottom w:w="100" w:type="dxa"/>
              <w:right w:w="100" w:type="dxa"/>
            </w:tcMar>
          </w:tcPr>
          <w:p w14:paraId="7E554D54" w14:textId="77777777" w:rsidR="00E8126F" w:rsidRDefault="00653540">
            <w:pPr>
              <w:widowControl w:val="0"/>
            </w:pPr>
            <w:r>
              <w:rPr>
                <w:rFonts w:ascii="Calibri" w:eastAsia="Calibri" w:hAnsi="Calibri" w:cs="Calibri"/>
                <w:color w:val="666666"/>
                <w:sz w:val="21"/>
                <w:szCs w:val="21"/>
                <w:highlight w:val="white"/>
              </w:rPr>
              <w:t>John Helly</w:t>
            </w:r>
          </w:p>
        </w:tc>
        <w:tc>
          <w:tcPr>
            <w:tcW w:w="2340" w:type="dxa"/>
            <w:tcBorders>
              <w:top w:val="nil"/>
              <w:left w:val="nil"/>
              <w:bottom w:val="nil"/>
              <w:right w:val="nil"/>
            </w:tcBorders>
            <w:tcMar>
              <w:top w:w="100" w:type="dxa"/>
              <w:left w:w="100" w:type="dxa"/>
              <w:bottom w:w="100" w:type="dxa"/>
              <w:right w:w="100" w:type="dxa"/>
            </w:tcMar>
          </w:tcPr>
          <w:p w14:paraId="29849078" w14:textId="77777777" w:rsidR="00E8126F" w:rsidRDefault="00653540">
            <w:pPr>
              <w:widowControl w:val="0"/>
            </w:pPr>
            <w:r>
              <w:rPr>
                <w:rFonts w:ascii="Calibri" w:eastAsia="Calibri" w:hAnsi="Calibri" w:cs="Calibri"/>
                <w:color w:val="666666"/>
                <w:sz w:val="21"/>
                <w:szCs w:val="21"/>
                <w:highlight w:val="white"/>
              </w:rPr>
              <w:t>Natalia Manola</w:t>
            </w:r>
          </w:p>
        </w:tc>
        <w:tc>
          <w:tcPr>
            <w:tcW w:w="2340" w:type="dxa"/>
            <w:tcBorders>
              <w:top w:val="nil"/>
              <w:left w:val="nil"/>
              <w:bottom w:val="nil"/>
              <w:right w:val="nil"/>
            </w:tcBorders>
            <w:tcMar>
              <w:top w:w="100" w:type="dxa"/>
              <w:left w:w="100" w:type="dxa"/>
              <w:bottom w:w="100" w:type="dxa"/>
              <w:right w:w="100" w:type="dxa"/>
            </w:tcMar>
          </w:tcPr>
          <w:p w14:paraId="5DA7164C" w14:textId="77777777" w:rsidR="00E8126F" w:rsidRDefault="00653540">
            <w:pPr>
              <w:widowControl w:val="0"/>
            </w:pPr>
            <w:r>
              <w:rPr>
                <w:rFonts w:ascii="Calibri" w:eastAsia="Calibri" w:hAnsi="Calibri" w:cs="Calibri"/>
                <w:color w:val="666666"/>
                <w:sz w:val="21"/>
                <w:szCs w:val="21"/>
                <w:highlight w:val="white"/>
              </w:rPr>
              <w:t>Timea Biro</w:t>
            </w:r>
          </w:p>
        </w:tc>
      </w:tr>
      <w:tr w:rsidR="00E8126F" w14:paraId="6B279116" w14:textId="77777777">
        <w:tc>
          <w:tcPr>
            <w:tcW w:w="2340" w:type="dxa"/>
            <w:tcBorders>
              <w:top w:val="nil"/>
              <w:left w:val="nil"/>
              <w:bottom w:val="nil"/>
              <w:right w:val="nil"/>
            </w:tcBorders>
            <w:tcMar>
              <w:top w:w="100" w:type="dxa"/>
              <w:left w:w="100" w:type="dxa"/>
              <w:bottom w:w="100" w:type="dxa"/>
              <w:right w:w="100" w:type="dxa"/>
            </w:tcMar>
          </w:tcPr>
          <w:p w14:paraId="59F5561C" w14:textId="77777777" w:rsidR="00E8126F" w:rsidRDefault="00653540">
            <w:pPr>
              <w:widowControl w:val="0"/>
            </w:pPr>
            <w:r>
              <w:rPr>
                <w:rFonts w:ascii="Calibri" w:eastAsia="Calibri" w:hAnsi="Calibri" w:cs="Calibri"/>
                <w:color w:val="666666"/>
                <w:sz w:val="21"/>
                <w:szCs w:val="21"/>
                <w:highlight w:val="white"/>
              </w:rPr>
              <w:t>Eefke Smit*</w:t>
            </w:r>
          </w:p>
        </w:tc>
        <w:tc>
          <w:tcPr>
            <w:tcW w:w="2340" w:type="dxa"/>
            <w:tcBorders>
              <w:top w:val="nil"/>
              <w:left w:val="nil"/>
              <w:bottom w:val="nil"/>
              <w:right w:val="nil"/>
            </w:tcBorders>
            <w:tcMar>
              <w:top w:w="100" w:type="dxa"/>
              <w:left w:w="100" w:type="dxa"/>
              <w:bottom w:w="100" w:type="dxa"/>
              <w:right w:w="100" w:type="dxa"/>
            </w:tcMar>
          </w:tcPr>
          <w:p w14:paraId="33F565E3" w14:textId="77777777" w:rsidR="00E8126F" w:rsidRDefault="00653540">
            <w:pPr>
              <w:widowControl w:val="0"/>
            </w:pPr>
            <w:r>
              <w:rPr>
                <w:rFonts w:ascii="Calibri" w:eastAsia="Calibri" w:hAnsi="Calibri" w:cs="Calibri"/>
                <w:color w:val="666666"/>
                <w:sz w:val="21"/>
                <w:szCs w:val="21"/>
                <w:highlight w:val="white"/>
              </w:rPr>
              <w:t>Jonathan Tedds</w:t>
            </w:r>
          </w:p>
        </w:tc>
        <w:tc>
          <w:tcPr>
            <w:tcW w:w="2340" w:type="dxa"/>
            <w:tcBorders>
              <w:top w:val="nil"/>
              <w:left w:val="nil"/>
              <w:bottom w:val="nil"/>
              <w:right w:val="nil"/>
            </w:tcBorders>
            <w:tcMar>
              <w:top w:w="100" w:type="dxa"/>
              <w:left w:w="100" w:type="dxa"/>
              <w:bottom w:w="100" w:type="dxa"/>
              <w:right w:w="100" w:type="dxa"/>
            </w:tcMar>
          </w:tcPr>
          <w:p w14:paraId="685276A6" w14:textId="77777777" w:rsidR="00E8126F" w:rsidRDefault="00653540">
            <w:pPr>
              <w:widowControl w:val="0"/>
            </w:pPr>
            <w:r>
              <w:rPr>
                <w:rFonts w:ascii="Calibri" w:eastAsia="Calibri" w:hAnsi="Calibri" w:cs="Calibri"/>
                <w:color w:val="666666"/>
                <w:sz w:val="21"/>
                <w:szCs w:val="21"/>
                <w:highlight w:val="white"/>
              </w:rPr>
              <w:t>Niclas Jareborg</w:t>
            </w:r>
          </w:p>
        </w:tc>
        <w:tc>
          <w:tcPr>
            <w:tcW w:w="2340" w:type="dxa"/>
            <w:tcBorders>
              <w:top w:val="nil"/>
              <w:left w:val="nil"/>
              <w:bottom w:val="nil"/>
              <w:right w:val="nil"/>
            </w:tcBorders>
            <w:tcMar>
              <w:top w:w="100" w:type="dxa"/>
              <w:left w:w="100" w:type="dxa"/>
              <w:bottom w:w="100" w:type="dxa"/>
              <w:right w:w="100" w:type="dxa"/>
            </w:tcMar>
          </w:tcPr>
          <w:p w14:paraId="3E9EBF8E" w14:textId="77777777" w:rsidR="00E8126F" w:rsidRDefault="00653540">
            <w:pPr>
              <w:widowControl w:val="0"/>
            </w:pPr>
            <w:r>
              <w:rPr>
                <w:rFonts w:ascii="Calibri" w:eastAsia="Calibri" w:hAnsi="Calibri" w:cs="Calibri"/>
                <w:color w:val="666666"/>
                <w:sz w:val="21"/>
                <w:szCs w:val="21"/>
                <w:highlight w:val="white"/>
              </w:rPr>
              <w:t>Tom Demeranville</w:t>
            </w:r>
          </w:p>
        </w:tc>
      </w:tr>
      <w:tr w:rsidR="00E8126F" w14:paraId="1416154F" w14:textId="77777777">
        <w:tc>
          <w:tcPr>
            <w:tcW w:w="2340" w:type="dxa"/>
            <w:tcBorders>
              <w:top w:val="nil"/>
              <w:left w:val="nil"/>
              <w:bottom w:val="nil"/>
              <w:right w:val="nil"/>
            </w:tcBorders>
            <w:tcMar>
              <w:top w:w="100" w:type="dxa"/>
              <w:left w:w="100" w:type="dxa"/>
              <w:bottom w:w="100" w:type="dxa"/>
              <w:right w:w="100" w:type="dxa"/>
            </w:tcMar>
          </w:tcPr>
          <w:p w14:paraId="67F5E569" w14:textId="77777777" w:rsidR="00E8126F" w:rsidRDefault="00653540">
            <w:pPr>
              <w:widowControl w:val="0"/>
            </w:pPr>
            <w:r>
              <w:rPr>
                <w:rFonts w:ascii="Calibri" w:eastAsia="Calibri" w:hAnsi="Calibri" w:cs="Calibri"/>
                <w:color w:val="666666"/>
                <w:sz w:val="21"/>
                <w:szCs w:val="21"/>
                <w:highlight w:val="white"/>
              </w:rPr>
              <w:t>Elise Dunham</w:t>
            </w:r>
          </w:p>
        </w:tc>
        <w:tc>
          <w:tcPr>
            <w:tcW w:w="2340" w:type="dxa"/>
            <w:tcBorders>
              <w:top w:val="nil"/>
              <w:left w:val="nil"/>
              <w:bottom w:val="nil"/>
              <w:right w:val="nil"/>
            </w:tcBorders>
            <w:tcMar>
              <w:top w:w="100" w:type="dxa"/>
              <w:left w:w="100" w:type="dxa"/>
              <w:bottom w:w="100" w:type="dxa"/>
              <w:right w:w="100" w:type="dxa"/>
            </w:tcMar>
          </w:tcPr>
          <w:p w14:paraId="5F6EE70D" w14:textId="77777777" w:rsidR="00E8126F" w:rsidRDefault="00653540">
            <w:pPr>
              <w:widowControl w:val="0"/>
            </w:pPr>
            <w:r>
              <w:rPr>
                <w:rFonts w:ascii="Calibri" w:eastAsia="Calibri" w:hAnsi="Calibri" w:cs="Calibri"/>
                <w:color w:val="666666"/>
                <w:sz w:val="21"/>
                <w:szCs w:val="21"/>
                <w:highlight w:val="white"/>
              </w:rPr>
              <w:t>Juanle Wang*</w:t>
            </w:r>
          </w:p>
        </w:tc>
        <w:tc>
          <w:tcPr>
            <w:tcW w:w="2340" w:type="dxa"/>
            <w:tcBorders>
              <w:top w:val="nil"/>
              <w:left w:val="nil"/>
              <w:bottom w:val="nil"/>
              <w:right w:val="nil"/>
            </w:tcBorders>
            <w:tcMar>
              <w:top w:w="100" w:type="dxa"/>
              <w:left w:w="100" w:type="dxa"/>
              <w:bottom w:w="100" w:type="dxa"/>
              <w:right w:w="100" w:type="dxa"/>
            </w:tcMar>
          </w:tcPr>
          <w:p w14:paraId="3CA2CBDE" w14:textId="77777777" w:rsidR="00E8126F" w:rsidRDefault="00653540">
            <w:pPr>
              <w:widowControl w:val="0"/>
            </w:pPr>
            <w:r>
              <w:rPr>
                <w:rFonts w:ascii="Calibri" w:eastAsia="Calibri" w:hAnsi="Calibri" w:cs="Calibri"/>
                <w:color w:val="666666"/>
                <w:sz w:val="21"/>
                <w:szCs w:val="21"/>
                <w:highlight w:val="white"/>
              </w:rPr>
              <w:t>Nigel Robinson</w:t>
            </w:r>
          </w:p>
        </w:tc>
        <w:tc>
          <w:tcPr>
            <w:tcW w:w="2340" w:type="dxa"/>
            <w:tcBorders>
              <w:top w:val="nil"/>
              <w:left w:val="nil"/>
              <w:bottom w:val="nil"/>
              <w:right w:val="nil"/>
            </w:tcBorders>
            <w:tcMar>
              <w:top w:w="100" w:type="dxa"/>
              <w:left w:w="100" w:type="dxa"/>
              <w:bottom w:w="100" w:type="dxa"/>
              <w:right w:w="100" w:type="dxa"/>
            </w:tcMar>
          </w:tcPr>
          <w:p w14:paraId="4C73DDF0" w14:textId="77777777" w:rsidR="00E8126F" w:rsidRDefault="00653540">
            <w:pPr>
              <w:widowControl w:val="0"/>
            </w:pPr>
            <w:r>
              <w:rPr>
                <w:rFonts w:ascii="Calibri" w:eastAsia="Calibri" w:hAnsi="Calibri" w:cs="Calibri"/>
                <w:color w:val="666666"/>
                <w:sz w:val="21"/>
                <w:szCs w:val="21"/>
                <w:highlight w:val="white"/>
              </w:rPr>
              <w:t>Ui Ikeuchi</w:t>
            </w:r>
          </w:p>
        </w:tc>
      </w:tr>
      <w:tr w:rsidR="00E8126F" w14:paraId="5786BA61" w14:textId="77777777">
        <w:tc>
          <w:tcPr>
            <w:tcW w:w="2340" w:type="dxa"/>
            <w:tcBorders>
              <w:top w:val="nil"/>
              <w:left w:val="nil"/>
              <w:bottom w:val="nil"/>
              <w:right w:val="nil"/>
            </w:tcBorders>
            <w:tcMar>
              <w:top w:w="100" w:type="dxa"/>
              <w:left w:w="100" w:type="dxa"/>
              <w:bottom w:w="100" w:type="dxa"/>
              <w:right w:w="100" w:type="dxa"/>
            </w:tcMar>
          </w:tcPr>
          <w:p w14:paraId="2E3C385D" w14:textId="77777777" w:rsidR="00E8126F" w:rsidRDefault="00653540">
            <w:pPr>
              <w:widowControl w:val="0"/>
            </w:pPr>
            <w:r>
              <w:rPr>
                <w:rFonts w:ascii="Calibri" w:eastAsia="Calibri" w:hAnsi="Calibri" w:cs="Calibri"/>
                <w:color w:val="666666"/>
                <w:sz w:val="21"/>
                <w:szCs w:val="21"/>
                <w:highlight w:val="white"/>
              </w:rPr>
              <w:t>Elizabeth Moss</w:t>
            </w:r>
          </w:p>
        </w:tc>
        <w:tc>
          <w:tcPr>
            <w:tcW w:w="2340" w:type="dxa"/>
            <w:tcBorders>
              <w:top w:val="nil"/>
              <w:left w:val="nil"/>
              <w:bottom w:val="nil"/>
              <w:right w:val="nil"/>
            </w:tcBorders>
            <w:tcMar>
              <w:top w:w="100" w:type="dxa"/>
              <w:left w:w="100" w:type="dxa"/>
              <w:bottom w:w="100" w:type="dxa"/>
              <w:right w:w="100" w:type="dxa"/>
            </w:tcMar>
          </w:tcPr>
          <w:p w14:paraId="574B1842" w14:textId="77777777" w:rsidR="00E8126F" w:rsidRDefault="00653540">
            <w:pPr>
              <w:widowControl w:val="0"/>
            </w:pPr>
            <w:r>
              <w:rPr>
                <w:rFonts w:ascii="Calibri" w:eastAsia="Calibri" w:hAnsi="Calibri" w:cs="Calibri"/>
                <w:color w:val="666666"/>
                <w:sz w:val="21"/>
                <w:szCs w:val="21"/>
                <w:highlight w:val="white"/>
              </w:rPr>
              <w:t>Kate Roberts</w:t>
            </w:r>
          </w:p>
        </w:tc>
        <w:tc>
          <w:tcPr>
            <w:tcW w:w="2340" w:type="dxa"/>
            <w:tcBorders>
              <w:top w:val="nil"/>
              <w:left w:val="nil"/>
              <w:bottom w:val="nil"/>
              <w:right w:val="nil"/>
            </w:tcBorders>
            <w:tcMar>
              <w:top w:w="100" w:type="dxa"/>
              <w:left w:w="100" w:type="dxa"/>
              <w:bottom w:w="100" w:type="dxa"/>
              <w:right w:w="100" w:type="dxa"/>
            </w:tcMar>
          </w:tcPr>
          <w:p w14:paraId="76EE78F6" w14:textId="77777777" w:rsidR="00E8126F" w:rsidRDefault="00653540">
            <w:pPr>
              <w:widowControl w:val="0"/>
            </w:pPr>
            <w:r>
              <w:rPr>
                <w:rFonts w:ascii="Calibri" w:eastAsia="Calibri" w:hAnsi="Calibri" w:cs="Calibri"/>
                <w:color w:val="666666"/>
                <w:sz w:val="21"/>
                <w:szCs w:val="21"/>
                <w:highlight w:val="white"/>
              </w:rPr>
              <w:t>Paolo Manghi</w:t>
            </w:r>
          </w:p>
        </w:tc>
        <w:tc>
          <w:tcPr>
            <w:tcW w:w="2340" w:type="dxa"/>
            <w:tcBorders>
              <w:top w:val="nil"/>
              <w:left w:val="nil"/>
              <w:bottom w:val="nil"/>
              <w:right w:val="nil"/>
            </w:tcBorders>
            <w:tcMar>
              <w:top w:w="100" w:type="dxa"/>
              <w:left w:w="100" w:type="dxa"/>
              <w:bottom w:w="100" w:type="dxa"/>
              <w:right w:w="100" w:type="dxa"/>
            </w:tcMar>
          </w:tcPr>
          <w:p w14:paraId="35A35F2B" w14:textId="77777777" w:rsidR="00E8126F" w:rsidRDefault="00653540">
            <w:pPr>
              <w:widowControl w:val="0"/>
            </w:pPr>
            <w:r>
              <w:rPr>
                <w:rFonts w:ascii="Calibri" w:eastAsia="Calibri" w:hAnsi="Calibri" w:cs="Calibri"/>
                <w:color w:val="666666"/>
                <w:sz w:val="21"/>
                <w:szCs w:val="21"/>
                <w:highlight w:val="white"/>
              </w:rPr>
              <w:t>William Mischo</w:t>
            </w:r>
          </w:p>
        </w:tc>
      </w:tr>
      <w:tr w:rsidR="00E8126F" w14:paraId="63EDB552" w14:textId="77777777">
        <w:tc>
          <w:tcPr>
            <w:tcW w:w="2340" w:type="dxa"/>
            <w:tcBorders>
              <w:top w:val="nil"/>
              <w:left w:val="nil"/>
              <w:bottom w:val="nil"/>
              <w:right w:val="nil"/>
            </w:tcBorders>
            <w:tcMar>
              <w:top w:w="100" w:type="dxa"/>
              <w:left w:w="100" w:type="dxa"/>
              <w:bottom w:w="100" w:type="dxa"/>
              <w:right w:w="100" w:type="dxa"/>
            </w:tcMar>
          </w:tcPr>
          <w:p w14:paraId="66A8F932" w14:textId="77777777" w:rsidR="00E8126F" w:rsidRDefault="00653540">
            <w:pPr>
              <w:widowControl w:val="0"/>
            </w:pPr>
            <w:r>
              <w:rPr>
                <w:rFonts w:ascii="Calibri" w:eastAsia="Calibri" w:hAnsi="Calibri" w:cs="Calibri"/>
                <w:color w:val="666666"/>
                <w:sz w:val="21"/>
                <w:szCs w:val="21"/>
                <w:highlight w:val="white"/>
              </w:rPr>
              <w:t>Francis ANDRE</w:t>
            </w:r>
          </w:p>
        </w:tc>
        <w:tc>
          <w:tcPr>
            <w:tcW w:w="2340" w:type="dxa"/>
            <w:tcBorders>
              <w:top w:val="nil"/>
              <w:left w:val="nil"/>
              <w:bottom w:val="nil"/>
              <w:right w:val="nil"/>
            </w:tcBorders>
            <w:tcMar>
              <w:top w:w="100" w:type="dxa"/>
              <w:left w:w="100" w:type="dxa"/>
              <w:bottom w:w="100" w:type="dxa"/>
              <w:right w:w="100" w:type="dxa"/>
            </w:tcMar>
          </w:tcPr>
          <w:p w14:paraId="7B6CEAD2" w14:textId="77777777" w:rsidR="00E8126F" w:rsidRDefault="00653540">
            <w:pPr>
              <w:widowControl w:val="0"/>
            </w:pPr>
            <w:r>
              <w:rPr>
                <w:rFonts w:ascii="Calibri" w:eastAsia="Calibri" w:hAnsi="Calibri" w:cs="Calibri"/>
                <w:color w:val="666666"/>
                <w:sz w:val="21"/>
                <w:szCs w:val="21"/>
                <w:highlight w:val="white"/>
              </w:rPr>
              <w:t>Katerina Iatropoulou</w:t>
            </w:r>
          </w:p>
        </w:tc>
        <w:tc>
          <w:tcPr>
            <w:tcW w:w="2340" w:type="dxa"/>
            <w:tcBorders>
              <w:top w:val="nil"/>
              <w:left w:val="nil"/>
              <w:bottom w:val="nil"/>
              <w:right w:val="nil"/>
            </w:tcBorders>
            <w:tcMar>
              <w:top w:w="100" w:type="dxa"/>
              <w:left w:w="100" w:type="dxa"/>
              <w:bottom w:w="100" w:type="dxa"/>
              <w:right w:w="100" w:type="dxa"/>
            </w:tcMar>
          </w:tcPr>
          <w:p w14:paraId="1C797D91" w14:textId="77777777" w:rsidR="00E8126F" w:rsidRDefault="00653540">
            <w:pPr>
              <w:widowControl w:val="0"/>
            </w:pPr>
            <w:r>
              <w:rPr>
                <w:rFonts w:ascii="Calibri" w:eastAsia="Calibri" w:hAnsi="Calibri" w:cs="Calibri"/>
                <w:color w:val="666666"/>
                <w:sz w:val="21"/>
                <w:szCs w:val="21"/>
                <w:highlight w:val="white"/>
              </w:rPr>
              <w:t>Patricia Cruse*</w:t>
            </w:r>
          </w:p>
        </w:tc>
        <w:tc>
          <w:tcPr>
            <w:tcW w:w="2340" w:type="dxa"/>
            <w:tcBorders>
              <w:top w:val="nil"/>
              <w:left w:val="nil"/>
              <w:bottom w:val="nil"/>
              <w:right w:val="nil"/>
            </w:tcBorders>
            <w:tcMar>
              <w:top w:w="100" w:type="dxa"/>
              <w:left w:w="100" w:type="dxa"/>
              <w:bottom w:w="100" w:type="dxa"/>
              <w:right w:w="100" w:type="dxa"/>
            </w:tcMar>
          </w:tcPr>
          <w:p w14:paraId="7BD2E024" w14:textId="77777777" w:rsidR="00E8126F" w:rsidRDefault="00653540">
            <w:pPr>
              <w:widowControl w:val="0"/>
            </w:pPr>
            <w:r>
              <w:rPr>
                <w:rFonts w:ascii="Calibri" w:eastAsia="Calibri" w:hAnsi="Calibri" w:cs="Calibri"/>
                <w:color w:val="666666"/>
                <w:sz w:val="21"/>
                <w:szCs w:val="21"/>
                <w:highlight w:val="white"/>
              </w:rPr>
              <w:t>Wouter Haak*</w:t>
            </w:r>
          </w:p>
        </w:tc>
      </w:tr>
      <w:tr w:rsidR="00E8126F" w14:paraId="2C787C54" w14:textId="77777777">
        <w:tc>
          <w:tcPr>
            <w:tcW w:w="2340" w:type="dxa"/>
            <w:tcBorders>
              <w:top w:val="nil"/>
              <w:left w:val="nil"/>
              <w:bottom w:val="nil"/>
              <w:right w:val="nil"/>
            </w:tcBorders>
            <w:tcMar>
              <w:top w:w="100" w:type="dxa"/>
              <w:left w:w="100" w:type="dxa"/>
              <w:bottom w:w="100" w:type="dxa"/>
              <w:right w:w="100" w:type="dxa"/>
            </w:tcMar>
          </w:tcPr>
          <w:p w14:paraId="3151E887" w14:textId="77777777" w:rsidR="00E8126F" w:rsidRDefault="00E8126F">
            <w:pPr>
              <w:widowControl w:val="0"/>
            </w:pPr>
          </w:p>
        </w:tc>
        <w:tc>
          <w:tcPr>
            <w:tcW w:w="2340" w:type="dxa"/>
            <w:tcBorders>
              <w:top w:val="nil"/>
              <w:left w:val="nil"/>
              <w:bottom w:val="nil"/>
              <w:right w:val="nil"/>
            </w:tcBorders>
            <w:tcMar>
              <w:top w:w="100" w:type="dxa"/>
              <w:left w:w="100" w:type="dxa"/>
              <w:bottom w:w="100" w:type="dxa"/>
              <w:right w:w="100" w:type="dxa"/>
            </w:tcMar>
          </w:tcPr>
          <w:p w14:paraId="2E523F70" w14:textId="77777777" w:rsidR="00E8126F" w:rsidRDefault="00E8126F">
            <w:pPr>
              <w:widowControl w:val="0"/>
            </w:pPr>
          </w:p>
        </w:tc>
        <w:tc>
          <w:tcPr>
            <w:tcW w:w="2340" w:type="dxa"/>
            <w:tcBorders>
              <w:top w:val="nil"/>
              <w:left w:val="nil"/>
              <w:bottom w:val="nil"/>
              <w:right w:val="nil"/>
            </w:tcBorders>
            <w:tcMar>
              <w:top w:w="100" w:type="dxa"/>
              <w:left w:w="100" w:type="dxa"/>
              <w:bottom w:w="100" w:type="dxa"/>
              <w:right w:w="100" w:type="dxa"/>
            </w:tcMar>
          </w:tcPr>
          <w:p w14:paraId="24586E9A" w14:textId="77777777" w:rsidR="00E8126F" w:rsidRDefault="00E8126F">
            <w:pPr>
              <w:widowControl w:val="0"/>
            </w:pPr>
          </w:p>
        </w:tc>
        <w:tc>
          <w:tcPr>
            <w:tcW w:w="2340" w:type="dxa"/>
            <w:tcBorders>
              <w:top w:val="nil"/>
              <w:left w:val="nil"/>
              <w:bottom w:val="nil"/>
              <w:right w:val="nil"/>
            </w:tcBorders>
            <w:tcMar>
              <w:top w:w="100" w:type="dxa"/>
              <w:left w:w="100" w:type="dxa"/>
              <w:bottom w:w="100" w:type="dxa"/>
              <w:right w:w="100" w:type="dxa"/>
            </w:tcMar>
          </w:tcPr>
          <w:p w14:paraId="6F97C549" w14:textId="77777777" w:rsidR="00E8126F" w:rsidRDefault="00653540">
            <w:pPr>
              <w:widowControl w:val="0"/>
            </w:pPr>
            <w:r>
              <w:rPr>
                <w:rFonts w:ascii="Calibri" w:eastAsia="Calibri" w:hAnsi="Calibri" w:cs="Calibri"/>
                <w:color w:val="666666"/>
                <w:sz w:val="21"/>
                <w:szCs w:val="21"/>
                <w:highlight w:val="white"/>
              </w:rPr>
              <w:t>Xiaoli Chen</w:t>
            </w:r>
          </w:p>
        </w:tc>
      </w:tr>
      <w:tr w:rsidR="00E8126F" w14:paraId="56CBEF61" w14:textId="77777777">
        <w:tc>
          <w:tcPr>
            <w:tcW w:w="2340" w:type="dxa"/>
            <w:tcBorders>
              <w:top w:val="nil"/>
              <w:left w:val="nil"/>
              <w:bottom w:val="nil"/>
              <w:right w:val="nil"/>
            </w:tcBorders>
            <w:tcMar>
              <w:top w:w="100" w:type="dxa"/>
              <w:left w:w="100" w:type="dxa"/>
              <w:bottom w:w="100" w:type="dxa"/>
              <w:right w:w="100" w:type="dxa"/>
            </w:tcMar>
          </w:tcPr>
          <w:p w14:paraId="25467144" w14:textId="77777777" w:rsidR="00E8126F" w:rsidRDefault="00E8126F">
            <w:pPr>
              <w:widowControl w:val="0"/>
            </w:pPr>
          </w:p>
        </w:tc>
        <w:tc>
          <w:tcPr>
            <w:tcW w:w="2340" w:type="dxa"/>
            <w:tcBorders>
              <w:top w:val="nil"/>
              <w:left w:val="nil"/>
              <w:bottom w:val="nil"/>
              <w:right w:val="nil"/>
            </w:tcBorders>
            <w:tcMar>
              <w:top w:w="100" w:type="dxa"/>
              <w:left w:w="100" w:type="dxa"/>
              <w:bottom w:w="100" w:type="dxa"/>
              <w:right w:w="100" w:type="dxa"/>
            </w:tcMar>
          </w:tcPr>
          <w:p w14:paraId="1A7413E0" w14:textId="77777777" w:rsidR="00E8126F" w:rsidRDefault="00E8126F">
            <w:pPr>
              <w:widowControl w:val="0"/>
            </w:pPr>
          </w:p>
        </w:tc>
        <w:tc>
          <w:tcPr>
            <w:tcW w:w="2340" w:type="dxa"/>
            <w:tcBorders>
              <w:top w:val="nil"/>
              <w:left w:val="nil"/>
              <w:bottom w:val="nil"/>
              <w:right w:val="nil"/>
            </w:tcBorders>
            <w:tcMar>
              <w:top w:w="100" w:type="dxa"/>
              <w:left w:w="100" w:type="dxa"/>
              <w:bottom w:w="100" w:type="dxa"/>
              <w:right w:w="100" w:type="dxa"/>
            </w:tcMar>
          </w:tcPr>
          <w:p w14:paraId="722B2781" w14:textId="77777777" w:rsidR="00E8126F" w:rsidRDefault="00E8126F">
            <w:pPr>
              <w:widowControl w:val="0"/>
            </w:pPr>
          </w:p>
        </w:tc>
        <w:tc>
          <w:tcPr>
            <w:tcW w:w="2340" w:type="dxa"/>
            <w:tcBorders>
              <w:top w:val="nil"/>
              <w:left w:val="nil"/>
              <w:bottom w:val="nil"/>
              <w:right w:val="nil"/>
            </w:tcBorders>
            <w:tcMar>
              <w:top w:w="100" w:type="dxa"/>
              <w:left w:w="100" w:type="dxa"/>
              <w:bottom w:w="100" w:type="dxa"/>
              <w:right w:w="100" w:type="dxa"/>
            </w:tcMar>
          </w:tcPr>
          <w:p w14:paraId="7C97635D" w14:textId="77777777" w:rsidR="00E8126F" w:rsidRDefault="00653540">
            <w:pPr>
              <w:widowControl w:val="0"/>
            </w:pPr>
            <w:r>
              <w:rPr>
                <w:rFonts w:ascii="Calibri" w:eastAsia="Calibri" w:hAnsi="Calibri" w:cs="Calibri"/>
                <w:color w:val="666666"/>
                <w:sz w:val="21"/>
                <w:szCs w:val="21"/>
                <w:highlight w:val="white"/>
              </w:rPr>
              <w:t>Yolanda Meleco</w:t>
            </w:r>
          </w:p>
        </w:tc>
      </w:tr>
    </w:tbl>
    <w:p w14:paraId="68AB3B2C" w14:textId="77777777" w:rsidR="00E8126F" w:rsidRDefault="00653540">
      <w:r>
        <w:t>* Representattives of a WDS member</w:t>
      </w:r>
    </w:p>
    <w:p w14:paraId="0C09E626" w14:textId="77777777" w:rsidR="00E8126F" w:rsidRDefault="00E8126F"/>
    <w:p w14:paraId="72CEE724" w14:textId="77777777" w:rsidR="00E8126F" w:rsidRDefault="00653540">
      <w:r>
        <w:rPr>
          <w:sz w:val="20"/>
          <w:szCs w:val="20"/>
        </w:rPr>
        <w:t xml:space="preserve">Initiatial workstream leads and </w:t>
      </w:r>
      <w:r>
        <w:rPr>
          <w:b/>
          <w:sz w:val="20"/>
          <w:szCs w:val="20"/>
        </w:rPr>
        <w:t xml:space="preserve">co-chairs: </w:t>
      </w:r>
    </w:p>
    <w:p w14:paraId="068637C8" w14:textId="77777777" w:rsidR="00E8126F" w:rsidRDefault="00653540">
      <w:pPr>
        <w:numPr>
          <w:ilvl w:val="0"/>
          <w:numId w:val="3"/>
        </w:numPr>
        <w:ind w:hanging="360"/>
        <w:contextualSpacing/>
        <w:rPr>
          <w:sz w:val="20"/>
          <w:szCs w:val="20"/>
        </w:rPr>
      </w:pPr>
      <w:r>
        <w:rPr>
          <w:sz w:val="20"/>
          <w:szCs w:val="20"/>
        </w:rPr>
        <w:t>Technical</w:t>
      </w:r>
    </w:p>
    <w:p w14:paraId="6616B61E" w14:textId="77777777" w:rsidR="00E8126F" w:rsidRDefault="00653540">
      <w:pPr>
        <w:numPr>
          <w:ilvl w:val="1"/>
          <w:numId w:val="12"/>
        </w:numPr>
        <w:ind w:hanging="360"/>
        <w:contextualSpacing/>
        <w:rPr>
          <w:sz w:val="20"/>
          <w:szCs w:val="20"/>
        </w:rPr>
      </w:pPr>
      <w:r>
        <w:rPr>
          <w:sz w:val="20"/>
          <w:szCs w:val="20"/>
        </w:rPr>
        <w:t>techincal specs and docs (</w:t>
      </w:r>
      <w:r>
        <w:rPr>
          <w:b/>
          <w:sz w:val="20"/>
          <w:szCs w:val="20"/>
        </w:rPr>
        <w:t>Paolo Manghi</w:t>
      </w:r>
      <w:r>
        <w:rPr>
          <w:sz w:val="20"/>
          <w:szCs w:val="20"/>
        </w:rPr>
        <w:t>)</w:t>
      </w:r>
    </w:p>
    <w:p w14:paraId="10557B29" w14:textId="77777777" w:rsidR="00E8126F" w:rsidRDefault="00653540">
      <w:pPr>
        <w:numPr>
          <w:ilvl w:val="1"/>
          <w:numId w:val="12"/>
        </w:numPr>
        <w:ind w:hanging="360"/>
        <w:contextualSpacing/>
        <w:rPr>
          <w:sz w:val="20"/>
          <w:szCs w:val="20"/>
        </w:rPr>
      </w:pPr>
      <w:r>
        <w:rPr>
          <w:sz w:val="20"/>
          <w:szCs w:val="20"/>
        </w:rPr>
        <w:t>hub development and interoperability (</w:t>
      </w:r>
      <w:r>
        <w:rPr>
          <w:b/>
          <w:sz w:val="20"/>
          <w:szCs w:val="20"/>
        </w:rPr>
        <w:t>Martin Fenner</w:t>
      </w:r>
      <w:r>
        <w:rPr>
          <w:sz w:val="20"/>
          <w:szCs w:val="20"/>
        </w:rPr>
        <w:t>)</w:t>
      </w:r>
    </w:p>
    <w:p w14:paraId="3A629AB4" w14:textId="77777777" w:rsidR="00E8126F" w:rsidRDefault="00653540">
      <w:pPr>
        <w:numPr>
          <w:ilvl w:val="1"/>
          <w:numId w:val="12"/>
        </w:numPr>
        <w:ind w:hanging="360"/>
        <w:contextualSpacing/>
        <w:rPr>
          <w:sz w:val="20"/>
          <w:szCs w:val="20"/>
        </w:rPr>
      </w:pPr>
      <w:r>
        <w:rPr>
          <w:sz w:val="20"/>
          <w:szCs w:val="20"/>
        </w:rPr>
        <w:t xml:space="preserve">Scholix service development (Jeff Grethe) </w:t>
      </w:r>
    </w:p>
    <w:p w14:paraId="73D5B7D1" w14:textId="77777777" w:rsidR="00E8126F" w:rsidRDefault="00653540">
      <w:pPr>
        <w:numPr>
          <w:ilvl w:val="0"/>
          <w:numId w:val="12"/>
        </w:numPr>
        <w:ind w:hanging="360"/>
        <w:contextualSpacing/>
        <w:rPr>
          <w:sz w:val="20"/>
          <w:szCs w:val="20"/>
        </w:rPr>
      </w:pPr>
      <w:r>
        <w:rPr>
          <w:sz w:val="20"/>
          <w:szCs w:val="20"/>
        </w:rPr>
        <w:t>Community</w:t>
      </w:r>
    </w:p>
    <w:p w14:paraId="68F9B141" w14:textId="77777777" w:rsidR="00E8126F" w:rsidRDefault="00653540">
      <w:pPr>
        <w:numPr>
          <w:ilvl w:val="1"/>
          <w:numId w:val="12"/>
        </w:numPr>
        <w:ind w:hanging="360"/>
        <w:contextualSpacing/>
        <w:rPr>
          <w:sz w:val="20"/>
          <w:szCs w:val="20"/>
        </w:rPr>
      </w:pPr>
      <w:r>
        <w:rPr>
          <w:sz w:val="20"/>
          <w:szCs w:val="20"/>
        </w:rPr>
        <w:t xml:space="preserve">publisher (Iain </w:t>
      </w:r>
      <w:r>
        <w:rPr>
          <w:sz w:val="20"/>
          <w:szCs w:val="20"/>
          <w:highlight w:val="white"/>
        </w:rPr>
        <w:t>Hrynaszkiewicz</w:t>
      </w:r>
      <w:r>
        <w:rPr>
          <w:sz w:val="20"/>
          <w:szCs w:val="20"/>
        </w:rPr>
        <w:t>)</w:t>
      </w:r>
    </w:p>
    <w:p w14:paraId="4E11ECD8" w14:textId="77777777" w:rsidR="00E8126F" w:rsidRDefault="00653540">
      <w:pPr>
        <w:numPr>
          <w:ilvl w:val="1"/>
          <w:numId w:val="12"/>
        </w:numPr>
        <w:ind w:hanging="360"/>
        <w:contextualSpacing/>
        <w:rPr>
          <w:sz w:val="20"/>
          <w:szCs w:val="20"/>
        </w:rPr>
      </w:pPr>
      <w:r>
        <w:rPr>
          <w:sz w:val="20"/>
          <w:szCs w:val="20"/>
        </w:rPr>
        <w:t>repository (Ian Bruno)</w:t>
      </w:r>
    </w:p>
    <w:p w14:paraId="20B7F955" w14:textId="77777777" w:rsidR="00E8126F" w:rsidRDefault="00653540">
      <w:pPr>
        <w:numPr>
          <w:ilvl w:val="1"/>
          <w:numId w:val="12"/>
        </w:numPr>
        <w:ind w:hanging="360"/>
        <w:contextualSpacing/>
        <w:rPr>
          <w:sz w:val="20"/>
          <w:szCs w:val="20"/>
        </w:rPr>
      </w:pPr>
      <w:r>
        <w:rPr>
          <w:sz w:val="20"/>
          <w:szCs w:val="20"/>
        </w:rPr>
        <w:t>general outreach (Fiona Murphy)</w:t>
      </w:r>
    </w:p>
    <w:p w14:paraId="4CE4E3B5" w14:textId="77777777" w:rsidR="00E8126F" w:rsidRDefault="00653540">
      <w:pPr>
        <w:numPr>
          <w:ilvl w:val="0"/>
          <w:numId w:val="12"/>
        </w:numPr>
        <w:ind w:hanging="360"/>
        <w:contextualSpacing/>
        <w:rPr>
          <w:sz w:val="20"/>
          <w:szCs w:val="20"/>
        </w:rPr>
      </w:pPr>
      <w:r>
        <w:rPr>
          <w:sz w:val="20"/>
          <w:szCs w:val="20"/>
        </w:rPr>
        <w:t>WG Coordination</w:t>
      </w:r>
    </w:p>
    <w:p w14:paraId="04006894" w14:textId="77777777" w:rsidR="00E8126F" w:rsidRDefault="00653540">
      <w:pPr>
        <w:numPr>
          <w:ilvl w:val="1"/>
          <w:numId w:val="12"/>
        </w:numPr>
        <w:ind w:hanging="360"/>
        <w:contextualSpacing/>
        <w:rPr>
          <w:sz w:val="20"/>
          <w:szCs w:val="20"/>
        </w:rPr>
      </w:pPr>
      <w:r>
        <w:rPr>
          <w:sz w:val="20"/>
          <w:szCs w:val="20"/>
        </w:rPr>
        <w:t>WG program oversight (</w:t>
      </w:r>
      <w:r>
        <w:rPr>
          <w:b/>
          <w:sz w:val="20"/>
          <w:szCs w:val="20"/>
        </w:rPr>
        <w:t>Wouter Haak</w:t>
      </w:r>
      <w:r>
        <w:rPr>
          <w:sz w:val="20"/>
          <w:szCs w:val="20"/>
        </w:rPr>
        <w:t>)</w:t>
      </w:r>
    </w:p>
    <w:p w14:paraId="1EB8B6BB" w14:textId="77777777" w:rsidR="00E8126F" w:rsidRDefault="00653540">
      <w:pPr>
        <w:numPr>
          <w:ilvl w:val="1"/>
          <w:numId w:val="12"/>
        </w:numPr>
        <w:ind w:hanging="360"/>
        <w:contextualSpacing/>
        <w:rPr>
          <w:sz w:val="20"/>
          <w:szCs w:val="20"/>
        </w:rPr>
      </w:pPr>
      <w:r>
        <w:rPr>
          <w:sz w:val="20"/>
          <w:szCs w:val="20"/>
        </w:rPr>
        <w:t>WG component integration (</w:t>
      </w:r>
      <w:r>
        <w:rPr>
          <w:b/>
          <w:sz w:val="20"/>
          <w:szCs w:val="20"/>
        </w:rPr>
        <w:t>Adrian Burton</w:t>
      </w:r>
      <w:r>
        <w:rPr>
          <w:sz w:val="20"/>
          <w:szCs w:val="20"/>
        </w:rPr>
        <w:t>)</w:t>
      </w:r>
    </w:p>
    <w:p w14:paraId="2F46E9EB" w14:textId="77777777" w:rsidR="00E8126F" w:rsidRDefault="00E8126F"/>
    <w:p w14:paraId="4E88A8DF" w14:textId="77777777" w:rsidR="00E8126F" w:rsidRDefault="00653540">
      <w:pPr>
        <w:pStyle w:val="Heading1"/>
        <w:contextualSpacing w:val="0"/>
      </w:pPr>
      <w:bookmarkStart w:id="11" w:name="_ob16wmtevyov" w:colFirst="0" w:colLast="0"/>
      <w:bookmarkEnd w:id="11"/>
      <w:r>
        <w:lastRenderedPageBreak/>
        <w:t>Annex: Use Cases</w:t>
      </w:r>
    </w:p>
    <w:p w14:paraId="6BC35E4F" w14:textId="77777777" w:rsidR="00E8126F" w:rsidRDefault="00E8126F"/>
    <w:p w14:paraId="4105DABC" w14:textId="77777777" w:rsidR="00E8126F" w:rsidRDefault="00653540">
      <w:r>
        <w:rPr>
          <w:noProof/>
        </w:rPr>
        <w:drawing>
          <wp:inline distT="114300" distB="114300" distL="114300" distR="114300" wp14:anchorId="44ACDC13" wp14:editId="36839B25">
            <wp:extent cx="5943600" cy="3340100"/>
            <wp:effectExtent l="0" t="0" r="0" b="0"/>
            <wp:docPr id="2" name="image02.png" descr="Presentation1.png"/>
            <wp:cNvGraphicFramePr/>
            <a:graphic xmlns:a="http://schemas.openxmlformats.org/drawingml/2006/main">
              <a:graphicData uri="http://schemas.openxmlformats.org/drawingml/2006/picture">
                <pic:pic xmlns:pic="http://schemas.openxmlformats.org/drawingml/2006/picture">
                  <pic:nvPicPr>
                    <pic:cNvPr id="0" name="image02.png" descr="Presentation1.png"/>
                    <pic:cNvPicPr preferRelativeResize="0"/>
                  </pic:nvPicPr>
                  <pic:blipFill>
                    <a:blip r:embed="rId9"/>
                    <a:srcRect/>
                    <a:stretch>
                      <a:fillRect/>
                    </a:stretch>
                  </pic:blipFill>
                  <pic:spPr>
                    <a:xfrm>
                      <a:off x="0" y="0"/>
                      <a:ext cx="5943600" cy="3340100"/>
                    </a:xfrm>
                    <a:prstGeom prst="rect">
                      <a:avLst/>
                    </a:prstGeom>
                    <a:ln/>
                  </pic:spPr>
                </pic:pic>
              </a:graphicData>
            </a:graphic>
          </wp:inline>
        </w:drawing>
      </w:r>
    </w:p>
    <w:p w14:paraId="18A536A4" w14:textId="77777777" w:rsidR="00E8126F" w:rsidRDefault="00E8126F"/>
    <w:p w14:paraId="152DEAFA" w14:textId="77777777" w:rsidR="00E8126F" w:rsidRDefault="00E8126F"/>
    <w:tbl>
      <w:tblPr>
        <w:tblStyle w:val="a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55"/>
        <w:gridCol w:w="4905"/>
      </w:tblGrid>
      <w:tr w:rsidR="00E8126F" w14:paraId="121C64E5" w14:textId="77777777">
        <w:trPr>
          <w:trHeight w:val="360"/>
        </w:trPr>
        <w:tc>
          <w:tcPr>
            <w:tcW w:w="4455"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1D9C318B" w14:textId="77777777" w:rsidR="00E8126F" w:rsidRDefault="00653540">
            <w:pPr>
              <w:spacing w:after="200"/>
            </w:pPr>
            <w:r>
              <w:rPr>
                <w:b/>
                <w:sz w:val="20"/>
                <w:szCs w:val="20"/>
              </w:rPr>
              <w:t>Use Case</w:t>
            </w:r>
          </w:p>
        </w:tc>
        <w:tc>
          <w:tcPr>
            <w:tcW w:w="4905"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0C25683B" w14:textId="77777777" w:rsidR="00E8126F" w:rsidRDefault="00653540">
            <w:r>
              <w:rPr>
                <w:b/>
                <w:sz w:val="20"/>
                <w:szCs w:val="20"/>
              </w:rPr>
              <w:t>Details</w:t>
            </w:r>
          </w:p>
        </w:tc>
      </w:tr>
      <w:tr w:rsidR="00E8126F" w14:paraId="4221F093" w14:textId="77777777">
        <w:trPr>
          <w:trHeight w:val="400"/>
        </w:trPr>
        <w:tc>
          <w:tcPr>
            <w:tcW w:w="9360" w:type="dxa"/>
            <w:gridSpan w:val="2"/>
            <w:tcBorders>
              <w:top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6576747" w14:textId="77777777" w:rsidR="00E8126F" w:rsidRDefault="00653540">
            <w:pPr>
              <w:jc w:val="center"/>
            </w:pPr>
            <w:r>
              <w:rPr>
                <w:b/>
                <w:i/>
                <w:sz w:val="20"/>
                <w:szCs w:val="20"/>
              </w:rPr>
              <w:t xml:space="preserve"> Live linking</w:t>
            </w:r>
          </w:p>
        </w:tc>
      </w:tr>
      <w:tr w:rsidR="00E8126F" w14:paraId="14FFDA8C" w14:textId="77777777">
        <w:tc>
          <w:tcPr>
            <w:tcW w:w="4455" w:type="dxa"/>
            <w:tcBorders>
              <w:bottom w:val="single" w:sz="8" w:space="0" w:color="000000"/>
              <w:right w:val="single" w:sz="8" w:space="0" w:color="000000"/>
            </w:tcBorders>
            <w:tcMar>
              <w:top w:w="100" w:type="dxa"/>
              <w:left w:w="100" w:type="dxa"/>
              <w:bottom w:w="100" w:type="dxa"/>
              <w:right w:w="100" w:type="dxa"/>
            </w:tcMar>
          </w:tcPr>
          <w:p w14:paraId="2B1712D1" w14:textId="77777777" w:rsidR="00E8126F" w:rsidRDefault="00653540">
            <w:r>
              <w:rPr>
                <w:b/>
                <w:i/>
                <w:sz w:val="18"/>
                <w:szCs w:val="18"/>
              </w:rPr>
              <w:t>As a</w:t>
            </w:r>
            <w:r>
              <w:rPr>
                <w:i/>
                <w:sz w:val="18"/>
                <w:szCs w:val="18"/>
              </w:rPr>
              <w:t xml:space="preserve"> publisher, </w:t>
            </w:r>
            <w:r>
              <w:rPr>
                <w:b/>
                <w:i/>
                <w:sz w:val="18"/>
                <w:szCs w:val="18"/>
              </w:rPr>
              <w:t>I want to</w:t>
            </w:r>
            <w:r>
              <w:rPr>
                <w:i/>
                <w:sz w:val="18"/>
                <w:szCs w:val="18"/>
              </w:rPr>
              <w:t xml:space="preserve"> know about relevant data for an article that I published </w:t>
            </w:r>
            <w:r>
              <w:rPr>
                <w:b/>
                <w:i/>
                <w:sz w:val="18"/>
                <w:szCs w:val="18"/>
              </w:rPr>
              <w:t>so that I</w:t>
            </w:r>
            <w:r>
              <w:rPr>
                <w:i/>
                <w:sz w:val="18"/>
                <w:szCs w:val="18"/>
              </w:rPr>
              <w:t xml:space="preserve">  can present links to such data sets to the users on my platform</w:t>
            </w:r>
          </w:p>
          <w:p w14:paraId="2F39A67B" w14:textId="77777777" w:rsidR="00E8126F" w:rsidRDefault="00653540">
            <w:pPr>
              <w:jc w:val="center"/>
            </w:pPr>
            <w:r>
              <w:rPr>
                <w:sz w:val="18"/>
                <w:szCs w:val="18"/>
              </w:rPr>
              <w:t xml:space="preserve">- OR - </w:t>
            </w:r>
          </w:p>
          <w:p w14:paraId="51B48C42" w14:textId="77777777" w:rsidR="00E8126F" w:rsidRDefault="00653540">
            <w:r>
              <w:rPr>
                <w:b/>
                <w:i/>
                <w:sz w:val="18"/>
                <w:szCs w:val="18"/>
              </w:rPr>
              <w:t>As a</w:t>
            </w:r>
            <w:r>
              <w:rPr>
                <w:i/>
                <w:sz w:val="18"/>
                <w:szCs w:val="18"/>
              </w:rPr>
              <w:t xml:space="preserve"> data center, </w:t>
            </w:r>
            <w:r>
              <w:rPr>
                <w:b/>
                <w:i/>
                <w:sz w:val="18"/>
                <w:szCs w:val="18"/>
              </w:rPr>
              <w:t>I want to</w:t>
            </w:r>
            <w:r>
              <w:rPr>
                <w:i/>
                <w:sz w:val="18"/>
                <w:szCs w:val="18"/>
              </w:rPr>
              <w:t xml:space="preserve"> know about relevant articles for a data set that I published </w:t>
            </w:r>
            <w:r>
              <w:rPr>
                <w:b/>
                <w:i/>
                <w:sz w:val="18"/>
                <w:szCs w:val="18"/>
              </w:rPr>
              <w:t>so that I</w:t>
            </w:r>
            <w:r>
              <w:rPr>
                <w:i/>
                <w:sz w:val="18"/>
                <w:szCs w:val="18"/>
              </w:rPr>
              <w:t xml:space="preserve">  can present links to such articles to the users on my platform</w:t>
            </w:r>
          </w:p>
        </w:tc>
        <w:tc>
          <w:tcPr>
            <w:tcW w:w="4905" w:type="dxa"/>
            <w:tcBorders>
              <w:bottom w:val="single" w:sz="8" w:space="0" w:color="000000"/>
              <w:right w:val="single" w:sz="8" w:space="0" w:color="000000"/>
            </w:tcBorders>
            <w:tcMar>
              <w:top w:w="100" w:type="dxa"/>
              <w:left w:w="100" w:type="dxa"/>
              <w:bottom w:w="100" w:type="dxa"/>
              <w:right w:w="100" w:type="dxa"/>
            </w:tcMar>
          </w:tcPr>
          <w:p w14:paraId="16759612" w14:textId="77777777" w:rsidR="00E8126F" w:rsidRDefault="00653540">
            <w:pPr>
              <w:numPr>
                <w:ilvl w:val="0"/>
                <w:numId w:val="8"/>
              </w:numPr>
              <w:ind w:hanging="360"/>
              <w:contextualSpacing/>
              <w:rPr>
                <w:sz w:val="18"/>
                <w:szCs w:val="18"/>
              </w:rPr>
            </w:pPr>
            <w:r>
              <w:rPr>
                <w:sz w:val="18"/>
                <w:szCs w:val="18"/>
              </w:rPr>
              <w:t xml:space="preserve">Needs to be </w:t>
            </w:r>
            <w:r>
              <w:rPr>
                <w:b/>
                <w:sz w:val="18"/>
                <w:szCs w:val="18"/>
              </w:rPr>
              <w:t>on-demand, real-time query</w:t>
            </w:r>
            <w:r>
              <w:rPr>
                <w:sz w:val="18"/>
                <w:szCs w:val="18"/>
              </w:rPr>
              <w:t xml:space="preserve">. </w:t>
            </w:r>
            <w:r>
              <w:rPr>
                <w:b/>
                <w:sz w:val="18"/>
                <w:szCs w:val="18"/>
              </w:rPr>
              <w:t xml:space="preserve">Performance </w:t>
            </w:r>
            <w:r>
              <w:rPr>
                <w:sz w:val="18"/>
                <w:szCs w:val="18"/>
              </w:rPr>
              <w:t>is critical.</w:t>
            </w:r>
          </w:p>
          <w:p w14:paraId="380AFF11" w14:textId="77777777" w:rsidR="00E8126F" w:rsidRDefault="00653540">
            <w:pPr>
              <w:numPr>
                <w:ilvl w:val="0"/>
                <w:numId w:val="8"/>
              </w:numPr>
              <w:ind w:hanging="360"/>
              <w:contextualSpacing/>
              <w:rPr>
                <w:sz w:val="18"/>
                <w:szCs w:val="18"/>
              </w:rPr>
            </w:pPr>
            <w:r>
              <w:rPr>
                <w:sz w:val="18"/>
                <w:szCs w:val="18"/>
              </w:rPr>
              <w:t xml:space="preserve">Publisher or  data center platform should be able to </w:t>
            </w:r>
            <w:r>
              <w:rPr>
                <w:b/>
                <w:sz w:val="18"/>
                <w:szCs w:val="18"/>
              </w:rPr>
              <w:t xml:space="preserve">control UI </w:t>
            </w:r>
            <w:r>
              <w:rPr>
                <w:sz w:val="18"/>
                <w:szCs w:val="18"/>
              </w:rPr>
              <w:t>for smooth platform integration.</w:t>
            </w:r>
          </w:p>
          <w:p w14:paraId="18E7F071" w14:textId="77777777" w:rsidR="00E8126F" w:rsidRDefault="00653540">
            <w:pPr>
              <w:numPr>
                <w:ilvl w:val="0"/>
                <w:numId w:val="8"/>
              </w:numPr>
              <w:ind w:hanging="360"/>
              <w:contextualSpacing/>
              <w:rPr>
                <w:sz w:val="18"/>
                <w:szCs w:val="18"/>
              </w:rPr>
            </w:pPr>
            <w:r>
              <w:rPr>
                <w:sz w:val="18"/>
                <w:szCs w:val="18"/>
              </w:rPr>
              <w:t>No need for the service to do any filtering; just return all linked data sets and client can filter as needed.</w:t>
            </w:r>
          </w:p>
        </w:tc>
      </w:tr>
      <w:tr w:rsidR="00E8126F" w14:paraId="55D055EF" w14:textId="77777777">
        <w:trPr>
          <w:trHeight w:val="440"/>
        </w:trPr>
        <w:tc>
          <w:tcPr>
            <w:tcW w:w="9360" w:type="dxa"/>
            <w:gridSpan w:val="2"/>
            <w:tcBorders>
              <w:bottom w:val="single" w:sz="8" w:space="0" w:color="000000"/>
              <w:right w:val="single" w:sz="8" w:space="0" w:color="000000"/>
            </w:tcBorders>
            <w:shd w:val="clear" w:color="auto" w:fill="EFEFEF"/>
            <w:tcMar>
              <w:top w:w="100" w:type="dxa"/>
              <w:left w:w="100" w:type="dxa"/>
              <w:bottom w:w="100" w:type="dxa"/>
              <w:right w:w="100" w:type="dxa"/>
            </w:tcMar>
          </w:tcPr>
          <w:p w14:paraId="366FE8E1" w14:textId="77777777" w:rsidR="00E8126F" w:rsidRDefault="00E8126F"/>
          <w:p w14:paraId="7E45C62B" w14:textId="77777777" w:rsidR="00E8126F" w:rsidRDefault="00653540">
            <w:pPr>
              <w:jc w:val="center"/>
            </w:pPr>
            <w:r>
              <w:rPr>
                <w:b/>
                <w:i/>
                <w:sz w:val="20"/>
                <w:szCs w:val="20"/>
              </w:rPr>
              <w:t>Overview</w:t>
            </w:r>
          </w:p>
        </w:tc>
      </w:tr>
      <w:tr w:rsidR="00E8126F" w14:paraId="3BF3F710" w14:textId="77777777">
        <w:tc>
          <w:tcPr>
            <w:tcW w:w="4455" w:type="dxa"/>
            <w:tcBorders>
              <w:bottom w:val="single" w:sz="8" w:space="0" w:color="000000"/>
              <w:right w:val="single" w:sz="8" w:space="0" w:color="000000"/>
            </w:tcBorders>
            <w:tcMar>
              <w:top w:w="100" w:type="dxa"/>
              <w:left w:w="100" w:type="dxa"/>
              <w:bottom w:w="100" w:type="dxa"/>
              <w:right w:w="100" w:type="dxa"/>
            </w:tcMar>
          </w:tcPr>
          <w:p w14:paraId="347D8479" w14:textId="77777777" w:rsidR="00E8126F" w:rsidRDefault="00653540">
            <w:r>
              <w:rPr>
                <w:b/>
                <w:i/>
                <w:sz w:val="18"/>
                <w:szCs w:val="18"/>
              </w:rPr>
              <w:t>As a</w:t>
            </w:r>
            <w:r>
              <w:rPr>
                <w:i/>
                <w:sz w:val="18"/>
                <w:szCs w:val="18"/>
              </w:rPr>
              <w:t xml:space="preserve"> data center, </w:t>
            </w:r>
            <w:r>
              <w:rPr>
                <w:b/>
                <w:i/>
                <w:sz w:val="18"/>
                <w:szCs w:val="18"/>
              </w:rPr>
              <w:t>I want to</w:t>
            </w:r>
            <w:r>
              <w:rPr>
                <w:i/>
                <w:sz w:val="18"/>
                <w:szCs w:val="18"/>
              </w:rPr>
              <w:t xml:space="preserve"> obtain a full overview of article/data (and data/data) links for the data sets relevant to me </w:t>
            </w:r>
            <w:r>
              <w:rPr>
                <w:b/>
                <w:i/>
                <w:sz w:val="18"/>
                <w:szCs w:val="18"/>
              </w:rPr>
              <w:t>so that I</w:t>
            </w:r>
            <w:r>
              <w:rPr>
                <w:i/>
                <w:sz w:val="18"/>
                <w:szCs w:val="18"/>
              </w:rPr>
              <w:t xml:space="preserve">  can demonstrate the utility of my data</w:t>
            </w:r>
          </w:p>
        </w:tc>
        <w:tc>
          <w:tcPr>
            <w:tcW w:w="4905" w:type="dxa"/>
            <w:tcBorders>
              <w:bottom w:val="single" w:sz="8" w:space="0" w:color="000000"/>
              <w:right w:val="single" w:sz="8" w:space="0" w:color="000000"/>
            </w:tcBorders>
            <w:tcMar>
              <w:top w:w="100" w:type="dxa"/>
              <w:left w:w="100" w:type="dxa"/>
              <w:bottom w:w="100" w:type="dxa"/>
              <w:right w:w="100" w:type="dxa"/>
            </w:tcMar>
          </w:tcPr>
          <w:p w14:paraId="4E4FD6D8" w14:textId="77777777" w:rsidR="00E8126F" w:rsidRDefault="00653540">
            <w:pPr>
              <w:numPr>
                <w:ilvl w:val="0"/>
                <w:numId w:val="1"/>
              </w:numPr>
              <w:ind w:hanging="360"/>
              <w:contextualSpacing/>
              <w:rPr>
                <w:sz w:val="18"/>
                <w:szCs w:val="18"/>
              </w:rPr>
            </w:pPr>
            <w:r>
              <w:rPr>
                <w:sz w:val="18"/>
                <w:szCs w:val="18"/>
              </w:rPr>
              <w:t xml:space="preserve">Query should be </w:t>
            </w:r>
            <w:r>
              <w:rPr>
                <w:b/>
                <w:sz w:val="18"/>
                <w:szCs w:val="18"/>
              </w:rPr>
              <w:t>on-demand</w:t>
            </w:r>
            <w:r>
              <w:rPr>
                <w:sz w:val="18"/>
                <w:szCs w:val="18"/>
              </w:rPr>
              <w:t xml:space="preserve">, </w:t>
            </w:r>
            <w:r>
              <w:rPr>
                <w:b/>
                <w:sz w:val="18"/>
                <w:szCs w:val="18"/>
              </w:rPr>
              <w:t>complete</w:t>
            </w:r>
            <w:r>
              <w:rPr>
                <w:sz w:val="18"/>
                <w:szCs w:val="18"/>
              </w:rPr>
              <w:t xml:space="preserve">, and </w:t>
            </w:r>
            <w:r>
              <w:rPr>
                <w:b/>
                <w:sz w:val="18"/>
                <w:szCs w:val="18"/>
              </w:rPr>
              <w:t>up-to-date</w:t>
            </w:r>
            <w:r>
              <w:rPr>
                <w:sz w:val="18"/>
                <w:szCs w:val="18"/>
              </w:rPr>
              <w:t>.</w:t>
            </w:r>
          </w:p>
          <w:p w14:paraId="67F201D8" w14:textId="77777777" w:rsidR="00E8126F" w:rsidRDefault="00653540">
            <w:pPr>
              <w:numPr>
                <w:ilvl w:val="0"/>
                <w:numId w:val="1"/>
              </w:numPr>
              <w:ind w:hanging="360"/>
              <w:contextualSpacing/>
              <w:rPr>
                <w:sz w:val="18"/>
                <w:szCs w:val="18"/>
              </w:rPr>
            </w:pPr>
            <w:r>
              <w:rPr>
                <w:b/>
                <w:sz w:val="18"/>
                <w:szCs w:val="18"/>
              </w:rPr>
              <w:t xml:space="preserve">Precision </w:t>
            </w:r>
            <w:r>
              <w:rPr>
                <w:sz w:val="18"/>
                <w:szCs w:val="18"/>
              </w:rPr>
              <w:t xml:space="preserve">and </w:t>
            </w:r>
            <w:r>
              <w:rPr>
                <w:b/>
                <w:sz w:val="18"/>
                <w:szCs w:val="18"/>
              </w:rPr>
              <w:t xml:space="preserve">comprehensiveness </w:t>
            </w:r>
            <w:r>
              <w:rPr>
                <w:sz w:val="18"/>
                <w:szCs w:val="18"/>
              </w:rPr>
              <w:t>are key</w:t>
            </w:r>
          </w:p>
          <w:p w14:paraId="4A3DB274" w14:textId="77777777" w:rsidR="00E8126F" w:rsidRDefault="00653540">
            <w:pPr>
              <w:numPr>
                <w:ilvl w:val="0"/>
                <w:numId w:val="1"/>
              </w:numPr>
              <w:ind w:hanging="360"/>
              <w:contextualSpacing/>
              <w:rPr>
                <w:sz w:val="18"/>
                <w:szCs w:val="18"/>
              </w:rPr>
            </w:pPr>
            <w:r>
              <w:rPr>
                <w:sz w:val="18"/>
                <w:szCs w:val="18"/>
              </w:rPr>
              <w:t xml:space="preserve">Ideally </w:t>
            </w:r>
            <w:r>
              <w:rPr>
                <w:b/>
                <w:sz w:val="18"/>
                <w:szCs w:val="18"/>
              </w:rPr>
              <w:t>on-demand</w:t>
            </w:r>
            <w:r>
              <w:rPr>
                <w:sz w:val="18"/>
                <w:szCs w:val="18"/>
              </w:rPr>
              <w:t>,  pull mechanism.</w:t>
            </w:r>
          </w:p>
        </w:tc>
      </w:tr>
      <w:tr w:rsidR="00E8126F" w14:paraId="2D19BD05" w14:textId="77777777">
        <w:trPr>
          <w:trHeight w:val="360"/>
        </w:trPr>
        <w:tc>
          <w:tcPr>
            <w:tcW w:w="9360" w:type="dxa"/>
            <w:gridSpan w:val="2"/>
            <w:tcBorders>
              <w:bottom w:val="single" w:sz="8" w:space="0" w:color="000000"/>
              <w:right w:val="single" w:sz="8" w:space="0" w:color="000000"/>
            </w:tcBorders>
            <w:shd w:val="clear" w:color="auto" w:fill="F3F3F3"/>
            <w:tcMar>
              <w:top w:w="100" w:type="dxa"/>
              <w:left w:w="100" w:type="dxa"/>
              <w:bottom w:w="100" w:type="dxa"/>
              <w:right w:w="100" w:type="dxa"/>
            </w:tcMar>
          </w:tcPr>
          <w:p w14:paraId="195A025F" w14:textId="77777777" w:rsidR="00E8126F" w:rsidRDefault="00653540">
            <w:pPr>
              <w:jc w:val="center"/>
            </w:pPr>
            <w:r>
              <w:rPr>
                <w:b/>
                <w:i/>
                <w:sz w:val="20"/>
                <w:szCs w:val="20"/>
              </w:rPr>
              <w:t>Notification</w:t>
            </w:r>
          </w:p>
        </w:tc>
      </w:tr>
      <w:tr w:rsidR="00E8126F" w14:paraId="7879F02F" w14:textId="77777777">
        <w:tc>
          <w:tcPr>
            <w:tcW w:w="44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753FBC" w14:textId="77777777" w:rsidR="00E8126F" w:rsidRDefault="00653540">
            <w:pPr>
              <w:spacing w:after="200"/>
            </w:pPr>
            <w:r>
              <w:rPr>
                <w:b/>
                <w:i/>
                <w:sz w:val="18"/>
                <w:szCs w:val="18"/>
              </w:rPr>
              <w:lastRenderedPageBreak/>
              <w:t xml:space="preserve">As a </w:t>
            </w:r>
            <w:r>
              <w:rPr>
                <w:i/>
                <w:sz w:val="18"/>
                <w:szCs w:val="18"/>
              </w:rPr>
              <w:t>data center</w:t>
            </w:r>
            <w:r>
              <w:rPr>
                <w:b/>
                <w:i/>
                <w:sz w:val="18"/>
                <w:szCs w:val="18"/>
              </w:rPr>
              <w:t>, I want to</w:t>
            </w:r>
            <w:r>
              <w:rPr>
                <w:i/>
                <w:sz w:val="18"/>
                <w:szCs w:val="18"/>
              </w:rPr>
              <w:t xml:space="preserve"> be alerted that an article may be citing/referencing our data </w:t>
            </w:r>
            <w:r>
              <w:rPr>
                <w:b/>
                <w:i/>
                <w:sz w:val="18"/>
                <w:szCs w:val="18"/>
              </w:rPr>
              <w:t xml:space="preserve">so that I </w:t>
            </w:r>
            <w:r>
              <w:rPr>
                <w:i/>
                <w:sz w:val="18"/>
                <w:szCs w:val="18"/>
              </w:rPr>
              <w:t>can validate that link and then add it to our own database.</w:t>
            </w:r>
          </w:p>
        </w:tc>
        <w:tc>
          <w:tcPr>
            <w:tcW w:w="49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1ADDBF" w14:textId="77777777" w:rsidR="00E8126F" w:rsidRDefault="00653540">
            <w:pPr>
              <w:numPr>
                <w:ilvl w:val="0"/>
                <w:numId w:val="8"/>
              </w:numPr>
              <w:ind w:hanging="360"/>
              <w:contextualSpacing/>
              <w:rPr>
                <w:sz w:val="18"/>
                <w:szCs w:val="18"/>
              </w:rPr>
            </w:pPr>
            <w:r>
              <w:rPr>
                <w:sz w:val="18"/>
                <w:szCs w:val="18"/>
              </w:rPr>
              <w:t xml:space="preserve">For an alerting mechanism, </w:t>
            </w:r>
            <w:r>
              <w:rPr>
                <w:b/>
                <w:sz w:val="18"/>
                <w:szCs w:val="18"/>
              </w:rPr>
              <w:t>recall is more important than precision</w:t>
            </w:r>
            <w:r>
              <w:rPr>
                <w:sz w:val="18"/>
                <w:szCs w:val="18"/>
              </w:rPr>
              <w:t xml:space="preserve"> (since the data center will still validate)</w:t>
            </w:r>
          </w:p>
          <w:p w14:paraId="01B9C90C" w14:textId="77777777" w:rsidR="00E8126F" w:rsidRDefault="00653540">
            <w:pPr>
              <w:numPr>
                <w:ilvl w:val="0"/>
                <w:numId w:val="8"/>
              </w:numPr>
              <w:ind w:hanging="360"/>
              <w:contextualSpacing/>
              <w:rPr>
                <w:sz w:val="18"/>
                <w:szCs w:val="18"/>
              </w:rPr>
            </w:pPr>
            <w:r>
              <w:rPr>
                <w:sz w:val="18"/>
                <w:szCs w:val="18"/>
              </w:rPr>
              <w:t xml:space="preserve">Should be </w:t>
            </w:r>
            <w:r>
              <w:rPr>
                <w:b/>
                <w:sz w:val="18"/>
                <w:szCs w:val="18"/>
              </w:rPr>
              <w:t>push</w:t>
            </w:r>
            <w:r>
              <w:rPr>
                <w:sz w:val="18"/>
                <w:szCs w:val="18"/>
              </w:rPr>
              <w:t xml:space="preserve"> notifications.</w:t>
            </w:r>
          </w:p>
          <w:p w14:paraId="4F6290F9" w14:textId="77777777" w:rsidR="00E8126F" w:rsidRDefault="00653540">
            <w:pPr>
              <w:numPr>
                <w:ilvl w:val="0"/>
                <w:numId w:val="8"/>
              </w:numPr>
              <w:ind w:hanging="360"/>
              <w:contextualSpacing/>
              <w:rPr>
                <w:sz w:val="18"/>
                <w:szCs w:val="18"/>
              </w:rPr>
            </w:pPr>
            <w:r>
              <w:rPr>
                <w:sz w:val="18"/>
                <w:szCs w:val="18"/>
              </w:rPr>
              <w:t xml:space="preserve">Data center needs to be able to selectively receive notifications for their data repository only, </w:t>
            </w:r>
            <w:r>
              <w:rPr>
                <w:b/>
                <w:sz w:val="18"/>
                <w:szCs w:val="18"/>
              </w:rPr>
              <w:t>need “data center” metadata</w:t>
            </w:r>
            <w:r>
              <w:rPr>
                <w:sz w:val="18"/>
                <w:szCs w:val="18"/>
              </w:rPr>
              <w:t>.</w:t>
            </w:r>
          </w:p>
          <w:p w14:paraId="13608278" w14:textId="77777777" w:rsidR="00E8126F" w:rsidRDefault="00653540">
            <w:pPr>
              <w:numPr>
                <w:ilvl w:val="0"/>
                <w:numId w:val="8"/>
              </w:numPr>
              <w:ind w:hanging="360"/>
              <w:contextualSpacing/>
              <w:rPr>
                <w:sz w:val="18"/>
                <w:szCs w:val="18"/>
              </w:rPr>
            </w:pPr>
            <w:r>
              <w:rPr>
                <w:sz w:val="18"/>
                <w:szCs w:val="18"/>
              </w:rPr>
              <w:t>This service is not so sensitive to comprehensive coverage</w:t>
            </w:r>
          </w:p>
        </w:tc>
      </w:tr>
      <w:tr w:rsidR="00E8126F" w14:paraId="192E21B3" w14:textId="77777777">
        <w:trPr>
          <w:trHeight w:val="360"/>
        </w:trPr>
        <w:tc>
          <w:tcPr>
            <w:tcW w:w="9360" w:type="dxa"/>
            <w:gridSpan w:val="2"/>
            <w:tcBorders>
              <w:top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79003CEC" w14:textId="77777777" w:rsidR="00E8126F" w:rsidRDefault="00653540">
            <w:pPr>
              <w:jc w:val="center"/>
            </w:pPr>
            <w:r>
              <w:rPr>
                <w:b/>
                <w:i/>
                <w:sz w:val="20"/>
                <w:szCs w:val="20"/>
              </w:rPr>
              <w:t>Exploration</w:t>
            </w:r>
          </w:p>
        </w:tc>
      </w:tr>
      <w:tr w:rsidR="00E8126F" w14:paraId="6FB51FDA" w14:textId="77777777">
        <w:tc>
          <w:tcPr>
            <w:tcW w:w="4455" w:type="dxa"/>
            <w:tcBorders>
              <w:bottom w:val="single" w:sz="8" w:space="0" w:color="000000"/>
              <w:right w:val="single" w:sz="8" w:space="0" w:color="000000"/>
            </w:tcBorders>
            <w:tcMar>
              <w:top w:w="100" w:type="dxa"/>
              <w:left w:w="100" w:type="dxa"/>
              <w:bottom w:w="100" w:type="dxa"/>
              <w:right w:w="100" w:type="dxa"/>
            </w:tcMar>
          </w:tcPr>
          <w:p w14:paraId="19CF7C2A" w14:textId="77777777" w:rsidR="00E8126F" w:rsidRDefault="00653540">
            <w:r>
              <w:rPr>
                <w:b/>
                <w:i/>
                <w:sz w:val="18"/>
                <w:szCs w:val="18"/>
              </w:rPr>
              <w:t xml:space="preserve">As </w:t>
            </w:r>
            <w:r>
              <w:rPr>
                <w:i/>
                <w:sz w:val="18"/>
                <w:szCs w:val="18"/>
              </w:rPr>
              <w:t xml:space="preserve">a researcher interested in a particular topic of study, </w:t>
            </w:r>
            <w:r>
              <w:rPr>
                <w:b/>
                <w:i/>
                <w:sz w:val="18"/>
                <w:szCs w:val="18"/>
              </w:rPr>
              <w:t>I want to</w:t>
            </w:r>
            <w:r>
              <w:rPr>
                <w:i/>
                <w:sz w:val="18"/>
                <w:szCs w:val="18"/>
              </w:rPr>
              <w:t xml:space="preserve"> be able to explore a relevant article/data graph </w:t>
            </w:r>
            <w:r>
              <w:rPr>
                <w:b/>
                <w:i/>
                <w:sz w:val="18"/>
                <w:szCs w:val="18"/>
              </w:rPr>
              <w:t>so that I</w:t>
            </w:r>
            <w:r>
              <w:rPr>
                <w:i/>
                <w:sz w:val="18"/>
                <w:szCs w:val="18"/>
              </w:rPr>
              <w:t xml:space="preserve">  can find the articles or data sets that I am interested in.</w:t>
            </w:r>
          </w:p>
        </w:tc>
        <w:tc>
          <w:tcPr>
            <w:tcW w:w="4905" w:type="dxa"/>
            <w:tcBorders>
              <w:bottom w:val="single" w:sz="8" w:space="0" w:color="000000"/>
              <w:right w:val="single" w:sz="8" w:space="0" w:color="000000"/>
            </w:tcBorders>
            <w:tcMar>
              <w:top w:w="100" w:type="dxa"/>
              <w:left w:w="100" w:type="dxa"/>
              <w:bottom w:w="100" w:type="dxa"/>
              <w:right w:w="100" w:type="dxa"/>
            </w:tcMar>
          </w:tcPr>
          <w:p w14:paraId="47DB0A35" w14:textId="77777777" w:rsidR="00E8126F" w:rsidRDefault="00653540">
            <w:pPr>
              <w:numPr>
                <w:ilvl w:val="0"/>
                <w:numId w:val="6"/>
              </w:numPr>
              <w:ind w:hanging="360"/>
              <w:contextualSpacing/>
              <w:rPr>
                <w:sz w:val="18"/>
                <w:szCs w:val="18"/>
              </w:rPr>
            </w:pPr>
            <w:r>
              <w:rPr>
                <w:sz w:val="18"/>
                <w:szCs w:val="18"/>
              </w:rPr>
              <w:t>General</w:t>
            </w:r>
            <w:r>
              <w:rPr>
                <w:b/>
                <w:sz w:val="18"/>
                <w:szCs w:val="18"/>
              </w:rPr>
              <w:t xml:space="preserve"> </w:t>
            </w:r>
            <w:r>
              <w:rPr>
                <w:sz w:val="18"/>
                <w:szCs w:val="18"/>
              </w:rPr>
              <w:t>“research” use case</w:t>
            </w:r>
            <w:r>
              <w:rPr>
                <w:b/>
                <w:sz w:val="18"/>
                <w:szCs w:val="18"/>
              </w:rPr>
              <w:t xml:space="preserve">, </w:t>
            </w:r>
            <w:r>
              <w:rPr>
                <w:sz w:val="18"/>
                <w:szCs w:val="18"/>
              </w:rPr>
              <w:t>could apply to individual researchers, data repositories, and others.</w:t>
            </w:r>
          </w:p>
          <w:p w14:paraId="392380E0" w14:textId="77777777" w:rsidR="00E8126F" w:rsidRDefault="00653540">
            <w:pPr>
              <w:numPr>
                <w:ilvl w:val="0"/>
                <w:numId w:val="6"/>
              </w:numPr>
              <w:ind w:hanging="360"/>
              <w:contextualSpacing/>
              <w:rPr>
                <w:sz w:val="18"/>
                <w:szCs w:val="18"/>
              </w:rPr>
            </w:pPr>
            <w:r>
              <w:rPr>
                <w:sz w:val="18"/>
                <w:szCs w:val="18"/>
              </w:rPr>
              <w:t xml:space="preserve">Requires a lot of </w:t>
            </w:r>
            <w:r>
              <w:rPr>
                <w:b/>
                <w:sz w:val="18"/>
                <w:szCs w:val="18"/>
              </w:rPr>
              <w:t>freedom to do exploration</w:t>
            </w:r>
            <w:r>
              <w:rPr>
                <w:sz w:val="18"/>
                <w:szCs w:val="18"/>
              </w:rPr>
              <w:t xml:space="preserve"> at the user’s terms </w:t>
            </w:r>
          </w:p>
          <w:p w14:paraId="2213E140" w14:textId="77777777" w:rsidR="00E8126F" w:rsidRDefault="00653540">
            <w:pPr>
              <w:numPr>
                <w:ilvl w:val="0"/>
                <w:numId w:val="6"/>
              </w:numPr>
              <w:ind w:hanging="360"/>
              <w:contextualSpacing/>
              <w:rPr>
                <w:sz w:val="18"/>
                <w:szCs w:val="18"/>
              </w:rPr>
            </w:pPr>
            <w:r>
              <w:rPr>
                <w:sz w:val="18"/>
                <w:szCs w:val="18"/>
              </w:rPr>
              <w:t xml:space="preserve">Would expect the user in this case is highly tech-savvy and will want to create their own search logic using a minimal </w:t>
            </w:r>
            <w:r>
              <w:rPr>
                <w:b/>
                <w:sz w:val="18"/>
                <w:szCs w:val="18"/>
              </w:rPr>
              <w:t>“hopping service”</w:t>
            </w:r>
            <w:r>
              <w:rPr>
                <w:sz w:val="18"/>
                <w:szCs w:val="18"/>
              </w:rPr>
              <w:t xml:space="preserve"> that exposes a set of links given an article or data set PID.</w:t>
            </w:r>
          </w:p>
        </w:tc>
      </w:tr>
    </w:tbl>
    <w:p w14:paraId="1293D29A" w14:textId="77777777" w:rsidR="00E8126F" w:rsidRDefault="00653540">
      <w:r>
        <w:rPr>
          <w:b/>
          <w:i/>
        </w:rPr>
        <w:t xml:space="preserve"> </w:t>
      </w:r>
    </w:p>
    <w:p w14:paraId="4C0320B5" w14:textId="77777777" w:rsidR="00E8126F" w:rsidRDefault="00E8126F"/>
    <w:sectPr w:rsidR="00E8126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A9752" w14:textId="77777777" w:rsidR="00061DA1" w:rsidRDefault="00061DA1">
      <w:pPr>
        <w:spacing w:line="240" w:lineRule="auto"/>
      </w:pPr>
      <w:r>
        <w:separator/>
      </w:r>
    </w:p>
  </w:endnote>
  <w:endnote w:type="continuationSeparator" w:id="0">
    <w:p w14:paraId="1E09459D" w14:textId="77777777" w:rsidR="00061DA1" w:rsidRDefault="00061D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29477" w14:textId="77777777" w:rsidR="00061DA1" w:rsidRDefault="00061DA1">
      <w:pPr>
        <w:spacing w:line="240" w:lineRule="auto"/>
      </w:pPr>
      <w:r>
        <w:separator/>
      </w:r>
    </w:p>
  </w:footnote>
  <w:footnote w:type="continuationSeparator" w:id="0">
    <w:p w14:paraId="4574379C" w14:textId="77777777" w:rsidR="00061DA1" w:rsidRDefault="00061DA1">
      <w:pPr>
        <w:spacing w:line="240" w:lineRule="auto"/>
      </w:pPr>
      <w:r>
        <w:continuationSeparator/>
      </w:r>
    </w:p>
  </w:footnote>
  <w:footnote w:id="1">
    <w:p w14:paraId="33255DCD" w14:textId="77777777" w:rsidR="00E8126F" w:rsidRDefault="00653540">
      <w:pPr>
        <w:spacing w:line="240" w:lineRule="auto"/>
      </w:pPr>
      <w:r>
        <w:rPr>
          <w:vertAlign w:val="superscript"/>
        </w:rPr>
        <w:footnoteRef/>
      </w:r>
      <w:r>
        <w:rPr>
          <w:sz w:val="20"/>
          <w:szCs w:val="20"/>
        </w:rPr>
        <w:t xml:space="preserve"> </w:t>
      </w:r>
      <w:r>
        <w:rPr>
          <w:i/>
        </w:rPr>
        <w:t>This group retains the principles established in its precursor working group (Publishing Data Services)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F66CE"/>
    <w:multiLevelType w:val="multilevel"/>
    <w:tmpl w:val="7116BC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C345951"/>
    <w:multiLevelType w:val="multilevel"/>
    <w:tmpl w:val="891C742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16992FEE"/>
    <w:multiLevelType w:val="multilevel"/>
    <w:tmpl w:val="131680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88F6616"/>
    <w:multiLevelType w:val="multilevel"/>
    <w:tmpl w:val="73561D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AF4310A"/>
    <w:multiLevelType w:val="multilevel"/>
    <w:tmpl w:val="025268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1B67607"/>
    <w:multiLevelType w:val="multilevel"/>
    <w:tmpl w:val="92A8BE8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5EA3B17"/>
    <w:multiLevelType w:val="multilevel"/>
    <w:tmpl w:val="51CEDA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74539DC"/>
    <w:multiLevelType w:val="multilevel"/>
    <w:tmpl w:val="C68430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30DD4556"/>
    <w:multiLevelType w:val="multilevel"/>
    <w:tmpl w:val="5C86FC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0B22545"/>
    <w:multiLevelType w:val="multilevel"/>
    <w:tmpl w:val="03FAD4AA"/>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4C3139C7"/>
    <w:multiLevelType w:val="multilevel"/>
    <w:tmpl w:val="890C26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FA52B92"/>
    <w:multiLevelType w:val="multilevel"/>
    <w:tmpl w:val="64FEB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4354652"/>
    <w:multiLevelType w:val="multilevel"/>
    <w:tmpl w:val="F7645D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55F138F1"/>
    <w:multiLevelType w:val="multilevel"/>
    <w:tmpl w:val="4AA29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6BB7CE9"/>
    <w:multiLevelType w:val="multilevel"/>
    <w:tmpl w:val="76A4E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9C52006"/>
    <w:multiLevelType w:val="multilevel"/>
    <w:tmpl w:val="683C342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nsid w:val="5E3B3EDC"/>
    <w:multiLevelType w:val="multilevel"/>
    <w:tmpl w:val="8D8470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6104D2E"/>
    <w:multiLevelType w:val="multilevel"/>
    <w:tmpl w:val="5CA4977A"/>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6AC84282"/>
    <w:multiLevelType w:val="multilevel"/>
    <w:tmpl w:val="68D42B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397480C"/>
    <w:multiLevelType w:val="multilevel"/>
    <w:tmpl w:val="4AC02B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771E153A"/>
    <w:multiLevelType w:val="multilevel"/>
    <w:tmpl w:val="17B4A5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4"/>
  </w:num>
  <w:num w:numId="2">
    <w:abstractNumId w:val="6"/>
  </w:num>
  <w:num w:numId="3">
    <w:abstractNumId w:val="19"/>
  </w:num>
  <w:num w:numId="4">
    <w:abstractNumId w:val="7"/>
  </w:num>
  <w:num w:numId="5">
    <w:abstractNumId w:val="17"/>
  </w:num>
  <w:num w:numId="6">
    <w:abstractNumId w:val="16"/>
  </w:num>
  <w:num w:numId="7">
    <w:abstractNumId w:val="9"/>
  </w:num>
  <w:num w:numId="8">
    <w:abstractNumId w:val="4"/>
  </w:num>
  <w:num w:numId="9">
    <w:abstractNumId w:val="18"/>
  </w:num>
  <w:num w:numId="10">
    <w:abstractNumId w:val="3"/>
  </w:num>
  <w:num w:numId="11">
    <w:abstractNumId w:val="15"/>
  </w:num>
  <w:num w:numId="12">
    <w:abstractNumId w:val="1"/>
  </w:num>
  <w:num w:numId="13">
    <w:abstractNumId w:val="20"/>
  </w:num>
  <w:num w:numId="14">
    <w:abstractNumId w:val="5"/>
  </w:num>
  <w:num w:numId="15">
    <w:abstractNumId w:val="11"/>
  </w:num>
  <w:num w:numId="16">
    <w:abstractNumId w:val="12"/>
  </w:num>
  <w:num w:numId="17">
    <w:abstractNumId w:val="0"/>
  </w:num>
  <w:num w:numId="18">
    <w:abstractNumId w:val="2"/>
  </w:num>
  <w:num w:numId="19">
    <w:abstractNumId w:val="13"/>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8126F"/>
    <w:rsid w:val="00061DA1"/>
    <w:rsid w:val="00653540"/>
    <w:rsid w:val="00A072EC"/>
    <w:rsid w:val="00E8126F"/>
    <w:rsid w:val="00F4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9930"/>
  <w15:docId w15:val="{24011562-B265-42D4-A3BC-90D200C8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35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nature.com/articles/sdata201618" TargetMode="External"/><Relationship Id="rId21" Type="http://schemas.openxmlformats.org/officeDocument/2006/relationships/hyperlink" Target="http://www.stm-assoc.org/" TargetMode="External"/><Relationship Id="rId22" Type="http://schemas.openxmlformats.org/officeDocument/2006/relationships/hyperlink" Target="https://dliservice.research-infrastructures.eu/" TargetMode="External"/><Relationship Id="rId23" Type="http://schemas.openxmlformats.org/officeDocument/2006/relationships/hyperlink" Target="https://rd-alliance.org/groups/rdawds-publishing-data-services-wg.html"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eventdata.crossref.org/guide/" TargetMode="External"/><Relationship Id="rId11" Type="http://schemas.openxmlformats.org/officeDocument/2006/relationships/hyperlink" Target="https://blog.datacite.org/its-all-about-relations/" TargetMode="External"/><Relationship Id="rId12" Type="http://schemas.openxmlformats.org/officeDocument/2006/relationships/hyperlink" Target="https://www.icsu-wds.org/" TargetMode="External"/><Relationship Id="rId13" Type="http://schemas.openxmlformats.org/officeDocument/2006/relationships/hyperlink" Target="http://rd-switchboard.net/" TargetMode="External"/><Relationship Id="rId14" Type="http://schemas.openxmlformats.org/officeDocument/2006/relationships/hyperlink" Target="https://pangaea.de/" TargetMode="External"/><Relationship Id="rId15" Type="http://schemas.openxmlformats.org/officeDocument/2006/relationships/hyperlink" Target="https://www.openaire.eu/" TargetMode="External"/><Relationship Id="rId16" Type="http://schemas.openxmlformats.org/officeDocument/2006/relationships/hyperlink" Target="https://project-thor.eu/" TargetMode="External"/><Relationship Id="rId17" Type="http://schemas.openxmlformats.org/officeDocument/2006/relationships/hyperlink" Target="http://rmap-project.info/rmap/" TargetMode="External"/><Relationship Id="rId18" Type="http://schemas.openxmlformats.org/officeDocument/2006/relationships/hyperlink" Target="http://mdc.lagotto.io/" TargetMode="External"/><Relationship Id="rId19" Type="http://schemas.openxmlformats.org/officeDocument/2006/relationships/hyperlink" Target="https://www.force11.org/group/dci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holix.org" TargetMode="External"/><Relationship Id="rId8" Type="http://schemas.openxmlformats.org/officeDocument/2006/relationships/hyperlink" Target="https://rd-alliance.org/groups/rdawds-publishing-data-services-w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3003</Words>
  <Characters>17118</Characters>
  <Application>Microsoft Macintosh Word</Application>
  <DocSecurity>0</DocSecurity>
  <Lines>142</Lines>
  <Paragraphs>40</Paragraphs>
  <ScaleCrop>false</ScaleCrop>
  <Company/>
  <LinksUpToDate>false</LinksUpToDate>
  <CharactersWithSpaces>20081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Yarmey</cp:lastModifiedBy>
  <cp:revision>2</cp:revision>
  <dcterms:created xsi:type="dcterms:W3CDTF">2016-10-07T20:24:00Z</dcterms:created>
  <dcterms:modified xsi:type="dcterms:W3CDTF">2016-10-07T20:24:00Z</dcterms:modified>
</cp:coreProperties>
</file>