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803"/>
      </w:tblGrid>
      <w:tr w:rsidR="00DF430B" w:rsidRPr="00A11DF6" w:rsidTr="0035263F">
        <w:tc>
          <w:tcPr>
            <w:tcW w:w="1843" w:type="dxa"/>
          </w:tcPr>
          <w:p w:rsidR="00DF430B" w:rsidRPr="00A11DF6" w:rsidRDefault="0035263F" w:rsidP="0035263F">
            <w:pPr>
              <w:pStyle w:val="Title"/>
              <w:rPr>
                <w:b/>
                <w:lang w:val="en-GB"/>
              </w:rPr>
            </w:pPr>
            <w:bookmarkStart w:id="0" w:name="_GoBack"/>
            <w:bookmarkEnd w:id="0"/>
            <w:r w:rsidRPr="00A11DF6">
              <w:rPr>
                <w:noProof/>
                <w:lang w:val="en-US"/>
              </w:rPr>
              <w:drawing>
                <wp:anchor distT="0" distB="0" distL="114300" distR="114300" simplePos="0" relativeHeight="251658240" behindDoc="0" locked="0" layoutInCell="1" allowOverlap="1" wp14:anchorId="054340CB" wp14:editId="00194CDE">
                  <wp:simplePos x="0" y="0"/>
                  <wp:positionH relativeFrom="column">
                    <wp:posOffset>114935</wp:posOffset>
                  </wp:positionH>
                  <wp:positionV relativeFrom="paragraph">
                    <wp:posOffset>-130175</wp:posOffset>
                  </wp:positionV>
                  <wp:extent cx="754380" cy="554577"/>
                  <wp:effectExtent l="0" t="0" r="7620" b="0"/>
                  <wp:wrapNone/>
                  <wp:docPr id="2" name="Picture 2" descr="Αποτέλεσμα εικόνας για RDA Europ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RDA Europ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380" cy="554577"/>
                          </a:xfrm>
                          <a:prstGeom prst="rect">
                            <a:avLst/>
                          </a:prstGeom>
                          <a:noFill/>
                          <a:ln>
                            <a:noFill/>
                          </a:ln>
                        </pic:spPr>
                      </pic:pic>
                    </a:graphicData>
                  </a:graphic>
                </wp:anchor>
              </w:drawing>
            </w:r>
          </w:p>
        </w:tc>
        <w:tc>
          <w:tcPr>
            <w:tcW w:w="6803" w:type="dxa"/>
          </w:tcPr>
          <w:p w:rsidR="0035263F" w:rsidRPr="00A11DF6" w:rsidRDefault="0035263F" w:rsidP="0035263F">
            <w:pPr>
              <w:pStyle w:val="Title"/>
              <w:rPr>
                <w:lang w:val="en-GB"/>
              </w:rPr>
            </w:pPr>
            <w:r w:rsidRPr="00A11DF6">
              <w:rPr>
                <w:lang w:val="en-GB"/>
              </w:rPr>
              <w:t>Task Force on Sustainability</w:t>
            </w:r>
          </w:p>
          <w:p w:rsidR="00DF430B" w:rsidRPr="00A11DF6" w:rsidRDefault="00DF430B" w:rsidP="00312F6F">
            <w:pPr>
              <w:jc w:val="right"/>
              <w:rPr>
                <w:b/>
                <w:lang w:val="en-GB"/>
              </w:rPr>
            </w:pPr>
          </w:p>
        </w:tc>
      </w:tr>
    </w:tbl>
    <w:p w:rsidR="002D55ED" w:rsidRPr="00A11DF6" w:rsidRDefault="0041492B" w:rsidP="002D55ED">
      <w:pPr>
        <w:pStyle w:val="Subtitle"/>
        <w:rPr>
          <w:b/>
          <w:sz w:val="32"/>
          <w:lang w:val="en-GB"/>
        </w:rPr>
      </w:pPr>
      <w:r w:rsidRPr="00A11DF6">
        <w:rPr>
          <w:b/>
          <w:sz w:val="32"/>
          <w:lang w:val="en-GB"/>
        </w:rPr>
        <w:t xml:space="preserve">Draft </w:t>
      </w:r>
      <w:r w:rsidR="00B20751" w:rsidRPr="00A11DF6">
        <w:rPr>
          <w:b/>
          <w:sz w:val="32"/>
          <w:lang w:val="en-GB"/>
        </w:rPr>
        <w:t>Terms of Reference</w:t>
      </w:r>
    </w:p>
    <w:p w:rsidR="002D55ED" w:rsidRPr="00A11DF6" w:rsidRDefault="0041492B" w:rsidP="00E84004">
      <w:pPr>
        <w:pStyle w:val="Subtitle"/>
        <w:rPr>
          <w:lang w:val="en-GB"/>
        </w:rPr>
      </w:pPr>
      <w:r w:rsidRPr="00A11DF6">
        <w:rPr>
          <w:lang w:val="en-GB"/>
        </w:rPr>
        <w:t>Fotis Karayannis, v1.</w:t>
      </w:r>
      <w:r w:rsidR="003340E3">
        <w:rPr>
          <w:lang w:val="en-GB"/>
        </w:rPr>
        <w:t>5</w:t>
      </w:r>
      <w:r w:rsidRPr="00A11DF6">
        <w:rPr>
          <w:lang w:val="en-GB"/>
        </w:rPr>
        <w:t xml:space="preserve"> - </w:t>
      </w:r>
      <w:r w:rsidR="00F85CBE">
        <w:rPr>
          <w:lang w:val="en-GB"/>
        </w:rPr>
        <w:t>31</w:t>
      </w:r>
      <w:r w:rsidR="00167BB3" w:rsidRPr="00A11DF6">
        <w:rPr>
          <w:lang w:val="en-GB"/>
        </w:rPr>
        <w:t>.</w:t>
      </w:r>
      <w:r w:rsidR="0035263F" w:rsidRPr="00A11DF6">
        <w:rPr>
          <w:lang w:val="en-GB"/>
        </w:rPr>
        <w:t>0</w:t>
      </w:r>
      <w:r w:rsidR="00F85CBE">
        <w:rPr>
          <w:lang w:val="en-GB"/>
        </w:rPr>
        <w:t>3</w:t>
      </w:r>
      <w:r w:rsidR="0035263F" w:rsidRPr="00A11DF6">
        <w:rPr>
          <w:lang w:val="en-GB"/>
        </w:rPr>
        <w:t>.2017</w:t>
      </w:r>
    </w:p>
    <w:p w:rsidR="00544CDC" w:rsidRPr="00A11DF6" w:rsidRDefault="00BD3983" w:rsidP="00BD3983">
      <w:pPr>
        <w:pStyle w:val="Heading1"/>
        <w:rPr>
          <w:lang w:val="en-GB"/>
        </w:rPr>
      </w:pPr>
      <w:r w:rsidRPr="00A11DF6">
        <w:rPr>
          <w:lang w:val="en-GB"/>
        </w:rPr>
        <w:t>Background</w:t>
      </w:r>
    </w:p>
    <w:p w:rsidR="00950F6A" w:rsidRPr="00A11DF6" w:rsidRDefault="0035263F" w:rsidP="00950F6A">
      <w:pPr>
        <w:jc w:val="both"/>
        <w:rPr>
          <w:lang w:val="en-GB"/>
        </w:rPr>
      </w:pPr>
      <w:r w:rsidRPr="00A11DF6">
        <w:rPr>
          <w:lang w:val="en-GB"/>
        </w:rPr>
        <w:t xml:space="preserve">During the first </w:t>
      </w:r>
      <w:r w:rsidR="00950F6A" w:rsidRPr="00A11DF6">
        <w:rPr>
          <w:lang w:val="en-GB"/>
        </w:rPr>
        <w:t>RDA</w:t>
      </w:r>
      <w:r w:rsidR="00274568" w:rsidRPr="00A11DF6">
        <w:rPr>
          <w:lang w:val="en-GB"/>
        </w:rPr>
        <w:t>-</w:t>
      </w:r>
      <w:r w:rsidR="007D3CED" w:rsidRPr="00A11DF6">
        <w:rPr>
          <w:lang w:val="en-GB"/>
        </w:rPr>
        <w:t>Europe</w:t>
      </w:r>
      <w:r w:rsidR="00950F6A" w:rsidRPr="00A11DF6">
        <w:rPr>
          <w:lang w:val="en-GB"/>
        </w:rPr>
        <w:t xml:space="preserve"> </w:t>
      </w:r>
      <w:r w:rsidR="003340E3">
        <w:rPr>
          <w:lang w:val="en-GB"/>
        </w:rPr>
        <w:t xml:space="preserve">3.0 </w:t>
      </w:r>
      <w:r w:rsidRPr="00A11DF6">
        <w:rPr>
          <w:lang w:val="en-GB"/>
        </w:rPr>
        <w:t>informal review</w:t>
      </w:r>
      <w:r w:rsidR="00950F6A" w:rsidRPr="00A11DF6">
        <w:rPr>
          <w:lang w:val="en-GB"/>
        </w:rPr>
        <w:t>,</w:t>
      </w:r>
      <w:r w:rsidRPr="00A11DF6">
        <w:rPr>
          <w:lang w:val="en-GB"/>
        </w:rPr>
        <w:t xml:space="preserve"> the reviewers came up with a </w:t>
      </w:r>
      <w:r w:rsidR="00950F6A" w:rsidRPr="00A11DF6">
        <w:rPr>
          <w:lang w:val="en-GB"/>
        </w:rPr>
        <w:t xml:space="preserve">set of recommendations, the first of which was about the RDA Europe perspective on </w:t>
      </w:r>
      <w:r w:rsidR="00274568" w:rsidRPr="00A11DF6">
        <w:rPr>
          <w:lang w:val="en-GB"/>
        </w:rPr>
        <w:t xml:space="preserve">RDA </w:t>
      </w:r>
      <w:r w:rsidR="00950F6A" w:rsidRPr="00A11DF6">
        <w:rPr>
          <w:lang w:val="en-GB"/>
        </w:rPr>
        <w:t xml:space="preserve">sustainability. </w:t>
      </w:r>
    </w:p>
    <w:p w:rsidR="00950F6A" w:rsidRPr="00A11DF6" w:rsidRDefault="00950F6A" w:rsidP="00443F1B">
      <w:pPr>
        <w:rPr>
          <w:lang w:val="en-GB"/>
        </w:rPr>
      </w:pPr>
      <w:r w:rsidRPr="00A11DF6">
        <w:rPr>
          <w:lang w:val="en-GB"/>
        </w:rPr>
        <w:t xml:space="preserve">The formulation of the recommendation was that </w:t>
      </w:r>
      <w:r w:rsidRPr="00A11DF6">
        <w:rPr>
          <w:i/>
          <w:lang w:val="en-GB"/>
        </w:rPr>
        <w:t>“RDA Europe 3 should develop short-term (2 to 5 years) and longer-term sustainability goals that will make RDA a centerpiece of European strategy for open science”</w:t>
      </w:r>
      <w:r w:rsidRPr="00A11DF6">
        <w:rPr>
          <w:lang w:val="en-GB"/>
        </w:rPr>
        <w:t>.</w:t>
      </w:r>
    </w:p>
    <w:p w:rsidR="00950F6A" w:rsidRPr="00A11DF6" w:rsidRDefault="00950F6A" w:rsidP="00443F1B">
      <w:pPr>
        <w:rPr>
          <w:lang w:val="en-GB"/>
        </w:rPr>
      </w:pPr>
      <w:r w:rsidRPr="00A11DF6">
        <w:rPr>
          <w:lang w:val="en-GB"/>
        </w:rPr>
        <w:t>The rational and the main actions are described below:</w:t>
      </w:r>
    </w:p>
    <w:p w:rsidR="00DE6916" w:rsidRPr="00A11DF6" w:rsidRDefault="008778C8" w:rsidP="00950F6A">
      <w:pPr>
        <w:numPr>
          <w:ilvl w:val="0"/>
          <w:numId w:val="1"/>
        </w:numPr>
        <w:rPr>
          <w:i/>
          <w:lang w:val="en-GB"/>
        </w:rPr>
      </w:pPr>
      <w:r w:rsidRPr="00A11DF6">
        <w:rPr>
          <w:i/>
          <w:lang w:val="en-GB"/>
        </w:rPr>
        <w:t>Rationale: As data-intensive research continues to expand in scale across disciplines and countries, knowledge infrastructures must expand in scale and sophistication to keep Europe competitive.</w:t>
      </w:r>
    </w:p>
    <w:p w:rsidR="00DE6916" w:rsidRPr="00A11DF6" w:rsidRDefault="008778C8" w:rsidP="00950F6A">
      <w:pPr>
        <w:numPr>
          <w:ilvl w:val="0"/>
          <w:numId w:val="1"/>
        </w:numPr>
        <w:rPr>
          <w:i/>
          <w:lang w:val="en-GB"/>
        </w:rPr>
      </w:pPr>
      <w:r w:rsidRPr="00A11DF6">
        <w:rPr>
          <w:i/>
          <w:lang w:val="en-GB"/>
        </w:rPr>
        <w:t xml:space="preserve">RDA efforts will continue to be valuable for all research communities. RDA Europe 3 members are in the best position to </w:t>
      </w:r>
      <w:r w:rsidRPr="00A11DF6">
        <w:rPr>
          <w:b/>
          <w:bCs/>
          <w:i/>
          <w:u w:val="single"/>
          <w:lang w:val="en-GB"/>
        </w:rPr>
        <w:t>design a sustainability plan</w:t>
      </w:r>
      <w:r w:rsidR="00A11DF6" w:rsidRPr="00A11DF6">
        <w:rPr>
          <w:bCs/>
          <w:i/>
          <w:lang w:val="en-GB"/>
        </w:rPr>
        <w:t>.</w:t>
      </w:r>
    </w:p>
    <w:p w:rsidR="00950F6A" w:rsidRPr="00A11DF6" w:rsidRDefault="00950F6A" w:rsidP="00950F6A">
      <w:pPr>
        <w:numPr>
          <w:ilvl w:val="0"/>
          <w:numId w:val="1"/>
        </w:numPr>
        <w:rPr>
          <w:i/>
          <w:lang w:val="en-GB"/>
        </w:rPr>
      </w:pPr>
      <w:r w:rsidRPr="00A11DF6">
        <w:rPr>
          <w:i/>
          <w:lang w:val="en-GB"/>
        </w:rPr>
        <w:t xml:space="preserve">The financial situation of RDA is currently complex to assess. Establishing a comprehensive </w:t>
      </w:r>
      <w:r w:rsidRPr="00A11DF6">
        <w:rPr>
          <w:b/>
          <w:bCs/>
          <w:i/>
          <w:u w:val="single"/>
          <w:lang w:val="en-GB"/>
        </w:rPr>
        <w:t>budget</w:t>
      </w:r>
      <w:r w:rsidRPr="00A11DF6">
        <w:rPr>
          <w:i/>
          <w:lang w:val="en-GB"/>
        </w:rPr>
        <w:t xml:space="preserve"> for RDA global and RDA Europe is now necessary</w:t>
      </w:r>
      <w:r w:rsidR="00A11DF6">
        <w:rPr>
          <w:i/>
          <w:lang w:val="en-GB"/>
        </w:rPr>
        <w:t>.</w:t>
      </w:r>
    </w:p>
    <w:p w:rsidR="00BD3983" w:rsidRPr="00A11DF6" w:rsidRDefault="00BD3983" w:rsidP="00BD3983">
      <w:pPr>
        <w:pStyle w:val="Heading1"/>
        <w:rPr>
          <w:lang w:val="en-GB"/>
        </w:rPr>
      </w:pPr>
      <w:r w:rsidRPr="00A11DF6">
        <w:rPr>
          <w:lang w:val="en-GB"/>
        </w:rPr>
        <w:t>Objective</w:t>
      </w:r>
    </w:p>
    <w:p w:rsidR="008757FE" w:rsidRPr="00A11DF6" w:rsidRDefault="006B0BD3" w:rsidP="00A468C1">
      <w:pPr>
        <w:jc w:val="both"/>
        <w:rPr>
          <w:lang w:val="en-GB"/>
        </w:rPr>
      </w:pPr>
      <w:r w:rsidRPr="00A11DF6">
        <w:rPr>
          <w:lang w:val="en-GB"/>
        </w:rPr>
        <w:t xml:space="preserve">The </w:t>
      </w:r>
      <w:r w:rsidR="00A468C1" w:rsidRPr="00A11DF6">
        <w:rPr>
          <w:lang w:val="en-GB"/>
        </w:rPr>
        <w:t xml:space="preserve">main </w:t>
      </w:r>
      <w:r w:rsidRPr="00A11DF6">
        <w:rPr>
          <w:lang w:val="en-GB"/>
        </w:rPr>
        <w:t>objective</w:t>
      </w:r>
      <w:r w:rsidR="008757FE" w:rsidRPr="00A11DF6">
        <w:rPr>
          <w:lang w:val="en-GB"/>
        </w:rPr>
        <w:t>s</w:t>
      </w:r>
      <w:r w:rsidRPr="00A11DF6">
        <w:rPr>
          <w:lang w:val="en-GB"/>
        </w:rPr>
        <w:t xml:space="preserve"> </w:t>
      </w:r>
      <w:r w:rsidR="00580702" w:rsidRPr="00A11DF6">
        <w:rPr>
          <w:lang w:val="en-GB"/>
        </w:rPr>
        <w:t xml:space="preserve">of the </w:t>
      </w:r>
      <w:r w:rsidR="00950F6A" w:rsidRPr="00A11DF6">
        <w:rPr>
          <w:lang w:val="en-GB"/>
        </w:rPr>
        <w:t xml:space="preserve">Task Force </w:t>
      </w:r>
      <w:r w:rsidR="008757FE" w:rsidRPr="00A11DF6">
        <w:rPr>
          <w:lang w:val="en-GB"/>
        </w:rPr>
        <w:t xml:space="preserve">are </w:t>
      </w:r>
    </w:p>
    <w:p w:rsidR="008757FE" w:rsidRPr="00A11DF6" w:rsidRDefault="006B0BD3" w:rsidP="008757FE">
      <w:pPr>
        <w:pStyle w:val="ListParagraph"/>
        <w:numPr>
          <w:ilvl w:val="0"/>
          <w:numId w:val="5"/>
        </w:numPr>
        <w:jc w:val="both"/>
        <w:rPr>
          <w:lang w:val="en-GB"/>
        </w:rPr>
      </w:pPr>
      <w:r w:rsidRPr="00A11DF6">
        <w:rPr>
          <w:lang w:val="en-GB"/>
        </w:rPr>
        <w:t>t</w:t>
      </w:r>
      <w:r w:rsidR="00A468C1" w:rsidRPr="00A11DF6">
        <w:rPr>
          <w:lang w:val="en-GB"/>
        </w:rPr>
        <w:t>o contribute to RDA Global sustainability from the RDA Europe perspective</w:t>
      </w:r>
      <w:r w:rsidR="00274568" w:rsidRPr="00A11DF6">
        <w:rPr>
          <w:lang w:val="en-GB"/>
        </w:rPr>
        <w:t>,</w:t>
      </w:r>
      <w:r w:rsidR="00A468C1" w:rsidRPr="00A11DF6">
        <w:rPr>
          <w:lang w:val="en-GB"/>
        </w:rPr>
        <w:t xml:space="preserve"> </w:t>
      </w:r>
      <w:r w:rsidR="00274568" w:rsidRPr="00A11DF6">
        <w:rPr>
          <w:lang w:val="en-GB"/>
        </w:rPr>
        <w:t>containing</w:t>
      </w:r>
      <w:r w:rsidR="00A468C1" w:rsidRPr="00A11DF6">
        <w:rPr>
          <w:lang w:val="en-GB"/>
        </w:rPr>
        <w:t xml:space="preserve"> provisions for governance, funding and fiscal policies. </w:t>
      </w:r>
    </w:p>
    <w:p w:rsidR="008757FE" w:rsidRPr="00A11DF6" w:rsidRDefault="008757FE" w:rsidP="008757FE">
      <w:pPr>
        <w:pStyle w:val="ListParagraph"/>
        <w:numPr>
          <w:ilvl w:val="0"/>
          <w:numId w:val="5"/>
        </w:numPr>
        <w:jc w:val="both"/>
        <w:rPr>
          <w:lang w:val="en-GB"/>
        </w:rPr>
      </w:pPr>
      <w:r w:rsidRPr="00A11DF6">
        <w:rPr>
          <w:lang w:val="en-GB"/>
        </w:rPr>
        <w:t>to determine the place of RDA in the European infrastructure and data landscape</w:t>
      </w:r>
    </w:p>
    <w:p w:rsidR="00A468C1" w:rsidRPr="00A11DF6" w:rsidRDefault="00A468C1" w:rsidP="008757FE">
      <w:pPr>
        <w:jc w:val="both"/>
        <w:rPr>
          <w:lang w:val="en-GB"/>
        </w:rPr>
      </w:pPr>
      <w:r w:rsidRPr="00A11DF6">
        <w:rPr>
          <w:lang w:val="en-GB"/>
        </w:rPr>
        <w:t xml:space="preserve">The sustainability plan will include the following components: </w:t>
      </w:r>
    </w:p>
    <w:p w:rsidR="007D3CED" w:rsidRPr="00A11DF6" w:rsidRDefault="007D3CED" w:rsidP="00A468C1">
      <w:pPr>
        <w:pStyle w:val="ListParagraph"/>
        <w:numPr>
          <w:ilvl w:val="0"/>
          <w:numId w:val="3"/>
        </w:numPr>
        <w:jc w:val="both"/>
        <w:rPr>
          <w:lang w:val="en-GB"/>
        </w:rPr>
      </w:pPr>
      <w:r w:rsidRPr="00A11DF6">
        <w:rPr>
          <w:lang w:val="en-GB"/>
        </w:rPr>
        <w:t xml:space="preserve">Analysing the overall context and </w:t>
      </w:r>
      <w:r w:rsidR="00B6155B" w:rsidRPr="00A11DF6">
        <w:rPr>
          <w:lang w:val="en-GB"/>
        </w:rPr>
        <w:t xml:space="preserve">the </w:t>
      </w:r>
      <w:r w:rsidRPr="00A11DF6">
        <w:rPr>
          <w:lang w:val="en-GB"/>
        </w:rPr>
        <w:t>e-</w:t>
      </w:r>
      <w:r w:rsidR="00B6155B" w:rsidRPr="00A11DF6">
        <w:rPr>
          <w:lang w:val="en-GB"/>
        </w:rPr>
        <w:t>Infrastructures/</w:t>
      </w:r>
      <w:r w:rsidRPr="00A11DF6">
        <w:rPr>
          <w:lang w:val="en-GB"/>
        </w:rPr>
        <w:t>data landscape in which RDA and RDA Europe are operating</w:t>
      </w:r>
      <w:r w:rsidR="00A93A63" w:rsidRPr="00A11DF6">
        <w:rPr>
          <w:lang w:val="en-GB"/>
        </w:rPr>
        <w:t>, including possible gaps</w:t>
      </w:r>
      <w:r w:rsidRPr="00A11DF6">
        <w:rPr>
          <w:lang w:val="en-GB"/>
        </w:rPr>
        <w:t xml:space="preserve">. This will </w:t>
      </w:r>
      <w:r w:rsidR="00A93A63" w:rsidRPr="00A11DF6">
        <w:rPr>
          <w:lang w:val="en-GB"/>
        </w:rPr>
        <w:t>assess</w:t>
      </w:r>
      <w:r w:rsidR="00B6155B" w:rsidRPr="00A11DF6">
        <w:rPr>
          <w:lang w:val="en-GB"/>
        </w:rPr>
        <w:t xml:space="preserve"> </w:t>
      </w:r>
      <w:r w:rsidR="00A93A63" w:rsidRPr="00A11DF6">
        <w:rPr>
          <w:lang w:val="en-GB"/>
        </w:rPr>
        <w:t xml:space="preserve">among others </w:t>
      </w:r>
      <w:r w:rsidR="00B6155B" w:rsidRPr="00A11DF6">
        <w:rPr>
          <w:lang w:val="en-GB"/>
        </w:rPr>
        <w:t>the relations of RDA Europe with:</w:t>
      </w:r>
      <w:r w:rsidRPr="00A11DF6">
        <w:rPr>
          <w:lang w:val="en-GB"/>
        </w:rPr>
        <w:t xml:space="preserve"> </w:t>
      </w:r>
    </w:p>
    <w:p w:rsidR="007D3CED" w:rsidRPr="00A11DF6" w:rsidRDefault="007D3CED" w:rsidP="007D3CED">
      <w:pPr>
        <w:pStyle w:val="ListParagraph"/>
        <w:numPr>
          <w:ilvl w:val="1"/>
          <w:numId w:val="3"/>
        </w:numPr>
        <w:jc w:val="both"/>
        <w:rPr>
          <w:lang w:val="en-GB"/>
        </w:rPr>
      </w:pPr>
      <w:r w:rsidRPr="00A11DF6">
        <w:rPr>
          <w:lang w:val="en-GB"/>
        </w:rPr>
        <w:t>RDA Global</w:t>
      </w:r>
    </w:p>
    <w:p w:rsidR="007D3CED" w:rsidRPr="00A11DF6" w:rsidRDefault="00B6155B" w:rsidP="007D3CED">
      <w:pPr>
        <w:pStyle w:val="ListParagraph"/>
        <w:numPr>
          <w:ilvl w:val="1"/>
          <w:numId w:val="3"/>
        </w:numPr>
        <w:jc w:val="both"/>
        <w:rPr>
          <w:lang w:val="en-GB"/>
        </w:rPr>
      </w:pPr>
      <w:r w:rsidRPr="00A11DF6">
        <w:rPr>
          <w:lang w:val="en-GB"/>
        </w:rPr>
        <w:t>RDA national/regional entities/partners</w:t>
      </w:r>
    </w:p>
    <w:p w:rsidR="008757FE" w:rsidRPr="00A11DF6" w:rsidRDefault="008757FE" w:rsidP="007D3CED">
      <w:pPr>
        <w:pStyle w:val="ListParagraph"/>
        <w:numPr>
          <w:ilvl w:val="1"/>
          <w:numId w:val="3"/>
        </w:numPr>
        <w:jc w:val="both"/>
        <w:rPr>
          <w:lang w:val="en-GB"/>
        </w:rPr>
      </w:pPr>
      <w:r w:rsidRPr="00A11DF6">
        <w:rPr>
          <w:lang w:val="en-GB"/>
        </w:rPr>
        <w:t>the emerging data infrastructure eco-system in Europe</w:t>
      </w:r>
    </w:p>
    <w:p w:rsidR="00A468C1" w:rsidRPr="00A11DF6" w:rsidRDefault="00A468C1" w:rsidP="00A468C1">
      <w:pPr>
        <w:pStyle w:val="ListParagraph"/>
        <w:numPr>
          <w:ilvl w:val="0"/>
          <w:numId w:val="3"/>
        </w:numPr>
        <w:jc w:val="both"/>
        <w:rPr>
          <w:lang w:val="en-GB"/>
        </w:rPr>
      </w:pPr>
      <w:r w:rsidRPr="00A11DF6">
        <w:rPr>
          <w:lang w:val="en-GB"/>
        </w:rPr>
        <w:t>Assessing the</w:t>
      </w:r>
      <w:r w:rsidR="007D3CED" w:rsidRPr="00A11DF6">
        <w:rPr>
          <w:lang w:val="en-GB"/>
        </w:rPr>
        <w:t xml:space="preserve"> status</w:t>
      </w:r>
      <w:r w:rsidRPr="00A11DF6">
        <w:rPr>
          <w:lang w:val="en-GB"/>
        </w:rPr>
        <w:t xml:space="preserve"> of RDA sustainability from the RDA Europe perspective in terms of: </w:t>
      </w:r>
    </w:p>
    <w:p w:rsidR="00A468C1" w:rsidRPr="00A11DF6" w:rsidRDefault="00A468C1" w:rsidP="00A468C1">
      <w:pPr>
        <w:pStyle w:val="ListParagraph"/>
        <w:numPr>
          <w:ilvl w:val="1"/>
          <w:numId w:val="3"/>
        </w:numPr>
        <w:jc w:val="both"/>
        <w:rPr>
          <w:lang w:val="en-GB"/>
        </w:rPr>
      </w:pPr>
      <w:r w:rsidRPr="00A11DF6">
        <w:rPr>
          <w:lang w:val="en-GB"/>
        </w:rPr>
        <w:t xml:space="preserve">Funding-Financing: Establishing a budget plan for RDA Global and RDA </w:t>
      </w:r>
      <w:r w:rsidR="007D3CED" w:rsidRPr="00A11DF6">
        <w:rPr>
          <w:lang w:val="en-GB"/>
        </w:rPr>
        <w:t>Europe</w:t>
      </w:r>
      <w:r w:rsidRPr="00A11DF6">
        <w:rPr>
          <w:lang w:val="en-GB"/>
        </w:rPr>
        <w:t xml:space="preserve"> </w:t>
      </w:r>
    </w:p>
    <w:p w:rsidR="007D3CED" w:rsidRPr="00A11DF6" w:rsidRDefault="00A468C1" w:rsidP="00A468C1">
      <w:pPr>
        <w:pStyle w:val="ListParagraph"/>
        <w:numPr>
          <w:ilvl w:val="1"/>
          <w:numId w:val="3"/>
        </w:numPr>
        <w:jc w:val="both"/>
        <w:rPr>
          <w:lang w:val="en-GB"/>
        </w:rPr>
      </w:pPr>
      <w:r w:rsidRPr="00A11DF6">
        <w:rPr>
          <w:lang w:val="en-GB"/>
        </w:rPr>
        <w:lastRenderedPageBreak/>
        <w:t>Governance</w:t>
      </w:r>
      <w:r w:rsidR="007D3CED" w:rsidRPr="00A11DF6">
        <w:rPr>
          <w:lang w:val="en-GB"/>
        </w:rPr>
        <w:t xml:space="preserve"> s</w:t>
      </w:r>
      <w:r w:rsidRPr="00A11DF6">
        <w:rPr>
          <w:lang w:val="en-GB"/>
        </w:rPr>
        <w:t xml:space="preserve">tructures </w:t>
      </w:r>
      <w:r w:rsidR="007D3CED" w:rsidRPr="00A11DF6">
        <w:rPr>
          <w:lang w:val="en-GB"/>
        </w:rPr>
        <w:t>and processes including the RDA Foundation</w:t>
      </w:r>
    </w:p>
    <w:p w:rsidR="007D3CED" w:rsidRPr="00A11DF6" w:rsidRDefault="007D3CED" w:rsidP="007D3CED">
      <w:pPr>
        <w:pStyle w:val="ListParagraph"/>
        <w:numPr>
          <w:ilvl w:val="1"/>
          <w:numId w:val="3"/>
        </w:numPr>
        <w:jc w:val="both"/>
        <w:rPr>
          <w:lang w:val="en-GB"/>
        </w:rPr>
      </w:pPr>
      <w:r w:rsidRPr="00A11DF6">
        <w:rPr>
          <w:lang w:val="en-GB"/>
        </w:rPr>
        <w:t xml:space="preserve">Fiscal processes and </w:t>
      </w:r>
      <w:r w:rsidR="00A468C1" w:rsidRPr="00A11DF6">
        <w:rPr>
          <w:lang w:val="en-GB"/>
        </w:rPr>
        <w:t>policies</w:t>
      </w:r>
      <w:r w:rsidRPr="00A11DF6">
        <w:rPr>
          <w:lang w:val="en-GB"/>
        </w:rPr>
        <w:t>, including the RDA Foundation</w:t>
      </w:r>
    </w:p>
    <w:p w:rsidR="00A468C1" w:rsidRPr="00A11DF6" w:rsidRDefault="00A468C1" w:rsidP="007D3CED">
      <w:pPr>
        <w:pStyle w:val="ListParagraph"/>
        <w:numPr>
          <w:ilvl w:val="0"/>
          <w:numId w:val="3"/>
        </w:numPr>
        <w:jc w:val="both"/>
        <w:rPr>
          <w:lang w:val="en-GB"/>
        </w:rPr>
      </w:pPr>
      <w:r w:rsidRPr="00A11DF6">
        <w:rPr>
          <w:lang w:val="en-GB"/>
        </w:rPr>
        <w:t xml:space="preserve">Propose </w:t>
      </w:r>
      <w:r w:rsidR="00A93A63" w:rsidRPr="00A11DF6">
        <w:rPr>
          <w:lang w:val="en-GB"/>
        </w:rPr>
        <w:t xml:space="preserve">a set of </w:t>
      </w:r>
      <w:r w:rsidRPr="00A11DF6">
        <w:rPr>
          <w:lang w:val="en-GB"/>
        </w:rPr>
        <w:t xml:space="preserve">recommendations </w:t>
      </w:r>
      <w:r w:rsidR="00AA393E" w:rsidRPr="00A11DF6">
        <w:rPr>
          <w:lang w:val="en-GB"/>
        </w:rPr>
        <w:t xml:space="preserve">for the future (on the above) </w:t>
      </w:r>
      <w:r w:rsidRPr="00A11DF6">
        <w:rPr>
          <w:lang w:val="en-GB"/>
        </w:rPr>
        <w:t xml:space="preserve">to be taken up by </w:t>
      </w:r>
      <w:r w:rsidR="00974332">
        <w:rPr>
          <w:lang w:val="en-GB"/>
        </w:rPr>
        <w:t xml:space="preserve">the following phases of </w:t>
      </w:r>
      <w:r w:rsidRPr="00A11DF6">
        <w:rPr>
          <w:lang w:val="en-GB"/>
        </w:rPr>
        <w:t>RDA Europe</w:t>
      </w:r>
      <w:r w:rsidR="00974332">
        <w:rPr>
          <w:lang w:val="en-GB"/>
        </w:rPr>
        <w:t>.</w:t>
      </w:r>
    </w:p>
    <w:p w:rsidR="00AA393E" w:rsidRPr="00A11DF6" w:rsidRDefault="00AA393E" w:rsidP="00AA393E">
      <w:pPr>
        <w:pStyle w:val="Heading1"/>
        <w:rPr>
          <w:lang w:val="en-GB"/>
        </w:rPr>
      </w:pPr>
      <w:r w:rsidRPr="00A11DF6">
        <w:rPr>
          <w:lang w:val="en-GB"/>
        </w:rPr>
        <w:t>Output</w:t>
      </w:r>
      <w:r w:rsidR="003340E3">
        <w:rPr>
          <w:lang w:val="en-GB"/>
        </w:rPr>
        <w:t xml:space="preserve"> and Target Audience</w:t>
      </w:r>
      <w:r w:rsidR="00243A6C">
        <w:rPr>
          <w:lang w:val="en-GB"/>
        </w:rPr>
        <w:t>s</w:t>
      </w:r>
    </w:p>
    <w:p w:rsidR="003340E3" w:rsidRPr="00764B24" w:rsidRDefault="00764B24" w:rsidP="00764B24">
      <w:pPr>
        <w:jc w:val="both"/>
        <w:rPr>
          <w:lang w:val="en-GB"/>
        </w:rPr>
      </w:pPr>
      <w:r w:rsidRPr="00764B24">
        <w:rPr>
          <w:lang w:val="en-GB"/>
        </w:rPr>
        <w:t>The Task Force will prepare a concise sustainability plan covering the above 3 points, i.e. coming up with a short landscape analysis (1) and then focusing on assessment of the current state of RDA from the RDA Europe perspective (2), along with a set of recommendations for the future (3).</w:t>
      </w:r>
    </w:p>
    <w:p w:rsidR="003340E3" w:rsidRDefault="00A93A63" w:rsidP="003340E3">
      <w:pPr>
        <w:jc w:val="both"/>
        <w:rPr>
          <w:lang w:val="en-GB"/>
        </w:rPr>
      </w:pPr>
      <w:r w:rsidRPr="003340E3">
        <w:rPr>
          <w:lang w:val="en-GB"/>
        </w:rPr>
        <w:t xml:space="preserve">The document will mainly be targeted to the </w:t>
      </w:r>
      <w:r w:rsidR="003340E3">
        <w:rPr>
          <w:lang w:val="en-GB"/>
        </w:rPr>
        <w:t>following main stakeholders</w:t>
      </w:r>
      <w:r w:rsidR="00243A6C">
        <w:rPr>
          <w:lang w:val="en-GB"/>
        </w:rPr>
        <w:t>, so that they can be assisted in their related actions</w:t>
      </w:r>
      <w:r w:rsidR="003340E3">
        <w:rPr>
          <w:lang w:val="en-GB"/>
        </w:rPr>
        <w:t>:</w:t>
      </w:r>
    </w:p>
    <w:p w:rsidR="00243A6C" w:rsidRPr="00243A6C" w:rsidRDefault="00243A6C" w:rsidP="00243A6C">
      <w:pPr>
        <w:pStyle w:val="ListParagraph"/>
        <w:numPr>
          <w:ilvl w:val="0"/>
          <w:numId w:val="7"/>
        </w:numPr>
        <w:jc w:val="both"/>
        <w:rPr>
          <w:lang w:val="en-GB"/>
        </w:rPr>
      </w:pPr>
      <w:r w:rsidRPr="00243A6C">
        <w:rPr>
          <w:lang w:val="en-GB"/>
        </w:rPr>
        <w:t>F</w:t>
      </w:r>
      <w:r w:rsidR="00580702" w:rsidRPr="00243A6C">
        <w:rPr>
          <w:lang w:val="en-GB"/>
        </w:rPr>
        <w:t>und</w:t>
      </w:r>
      <w:r w:rsidRPr="00243A6C">
        <w:rPr>
          <w:lang w:val="en-GB"/>
        </w:rPr>
        <w:t xml:space="preserve">ing agencies </w:t>
      </w:r>
      <w:r w:rsidR="00A93A63" w:rsidRPr="00243A6C">
        <w:rPr>
          <w:lang w:val="en-GB"/>
        </w:rPr>
        <w:t xml:space="preserve">policy and </w:t>
      </w:r>
      <w:r w:rsidR="00580702" w:rsidRPr="00243A6C">
        <w:rPr>
          <w:lang w:val="en-GB"/>
        </w:rPr>
        <w:t>decision makers.</w:t>
      </w:r>
    </w:p>
    <w:p w:rsidR="00243A6C" w:rsidRDefault="00243A6C" w:rsidP="00243A6C">
      <w:pPr>
        <w:pStyle w:val="ListParagraph"/>
        <w:numPr>
          <w:ilvl w:val="1"/>
          <w:numId w:val="7"/>
        </w:numPr>
        <w:jc w:val="both"/>
        <w:rPr>
          <w:lang w:val="en-GB"/>
        </w:rPr>
      </w:pPr>
      <w:r w:rsidRPr="003340E3">
        <w:rPr>
          <w:lang w:val="en-GB"/>
        </w:rPr>
        <w:t xml:space="preserve">RDA Europe funders, </w:t>
      </w:r>
      <w:r>
        <w:rPr>
          <w:lang w:val="en-GB"/>
        </w:rPr>
        <w:t>namely the European Commission and national funders</w:t>
      </w:r>
    </w:p>
    <w:p w:rsidR="00243A6C" w:rsidRDefault="00243A6C" w:rsidP="00243A6C">
      <w:pPr>
        <w:pStyle w:val="ListParagraph"/>
        <w:numPr>
          <w:ilvl w:val="1"/>
          <w:numId w:val="7"/>
        </w:numPr>
        <w:jc w:val="both"/>
        <w:rPr>
          <w:lang w:val="en-GB"/>
        </w:rPr>
      </w:pPr>
      <w:r>
        <w:rPr>
          <w:lang w:val="en-GB"/>
        </w:rPr>
        <w:t>RDA Council and related RDA Council Subcommittees including the one on Sustainability and Funding</w:t>
      </w:r>
    </w:p>
    <w:p w:rsidR="00243A6C" w:rsidRDefault="00243A6C" w:rsidP="00243A6C">
      <w:pPr>
        <w:pStyle w:val="ListParagraph"/>
        <w:numPr>
          <w:ilvl w:val="1"/>
          <w:numId w:val="7"/>
        </w:numPr>
        <w:jc w:val="both"/>
        <w:rPr>
          <w:lang w:val="en-GB"/>
        </w:rPr>
      </w:pPr>
      <w:r>
        <w:rPr>
          <w:lang w:val="en-GB"/>
        </w:rPr>
        <w:t>The RDA Funders Forum</w:t>
      </w:r>
      <w:r w:rsidR="002E0726">
        <w:rPr>
          <w:lang w:val="en-GB"/>
        </w:rPr>
        <w:t xml:space="preserve">, and in particular the funding agencies contributing to the RDA Global budget </w:t>
      </w:r>
    </w:p>
    <w:p w:rsidR="00243A6C" w:rsidRPr="00243A6C" w:rsidRDefault="00243A6C" w:rsidP="00243A6C">
      <w:pPr>
        <w:pStyle w:val="ListParagraph"/>
        <w:numPr>
          <w:ilvl w:val="0"/>
          <w:numId w:val="7"/>
        </w:numPr>
        <w:jc w:val="both"/>
        <w:rPr>
          <w:lang w:val="en-GB"/>
        </w:rPr>
      </w:pPr>
      <w:r>
        <w:rPr>
          <w:lang w:val="en-GB"/>
        </w:rPr>
        <w:t>Other relevant stakeholders</w:t>
      </w:r>
    </w:p>
    <w:p w:rsidR="005F7B57" w:rsidRPr="00764B24" w:rsidRDefault="00243A6C" w:rsidP="00243A6C">
      <w:pPr>
        <w:pStyle w:val="ListParagraph"/>
        <w:numPr>
          <w:ilvl w:val="1"/>
          <w:numId w:val="7"/>
        </w:numPr>
        <w:jc w:val="both"/>
        <w:rPr>
          <w:lang w:val="en-GB"/>
        </w:rPr>
      </w:pPr>
      <w:r>
        <w:rPr>
          <w:lang w:val="en-GB"/>
        </w:rPr>
        <w:t xml:space="preserve">RDA Europe 3 </w:t>
      </w:r>
      <w:r w:rsidR="002E0726">
        <w:rPr>
          <w:lang w:val="en-GB"/>
        </w:rPr>
        <w:t xml:space="preserve">and RDA Europe 4 project </w:t>
      </w:r>
      <w:r>
        <w:rPr>
          <w:lang w:val="en-GB"/>
        </w:rPr>
        <w:t>partners</w:t>
      </w:r>
      <w:r w:rsidR="00A272DC">
        <w:rPr>
          <w:lang w:val="en-GB"/>
        </w:rPr>
        <w:t>, and other stakeholders involved in the next RDA Europe phases.</w:t>
      </w:r>
    </w:p>
    <w:p w:rsidR="008757FE" w:rsidRPr="00A11DF6" w:rsidRDefault="008757FE" w:rsidP="00D2219F">
      <w:pPr>
        <w:jc w:val="both"/>
        <w:rPr>
          <w:lang w:val="en-GB"/>
        </w:rPr>
      </w:pPr>
      <w:r w:rsidRPr="00A11DF6">
        <w:rPr>
          <w:lang w:val="en-GB"/>
        </w:rPr>
        <w:t xml:space="preserve">The goal within RDA EU 3 is to write a </w:t>
      </w:r>
      <w:r w:rsidR="009F2C4E" w:rsidRPr="00A11DF6">
        <w:rPr>
          <w:lang w:val="en-GB"/>
        </w:rPr>
        <w:t>concise document</w:t>
      </w:r>
      <w:r w:rsidRPr="00A11DF6">
        <w:rPr>
          <w:lang w:val="en-GB"/>
        </w:rPr>
        <w:t xml:space="preserve"> containing major assertions and not a comprehensive document.</w:t>
      </w:r>
      <w:r w:rsidR="00764B24">
        <w:rPr>
          <w:lang w:val="en-GB"/>
        </w:rPr>
        <w:t xml:space="preserve"> As the document will contain budgeting / funding information, it may not be a public document, however it will be considered whether a public version will be created removing sensitive information. </w:t>
      </w:r>
    </w:p>
    <w:p w:rsidR="00BD3983" w:rsidRPr="00A11DF6" w:rsidRDefault="00BD3983" w:rsidP="00BD3983">
      <w:pPr>
        <w:pStyle w:val="Heading1"/>
        <w:rPr>
          <w:lang w:val="en-GB"/>
        </w:rPr>
      </w:pPr>
      <w:r w:rsidRPr="00A11DF6">
        <w:rPr>
          <w:lang w:val="en-GB"/>
        </w:rPr>
        <w:t>Ownership</w:t>
      </w:r>
      <w:r w:rsidR="00AA393E" w:rsidRPr="00A11DF6">
        <w:rPr>
          <w:lang w:val="en-GB"/>
        </w:rPr>
        <w:t>, Membership and Links</w:t>
      </w:r>
    </w:p>
    <w:p w:rsidR="00BD3983" w:rsidRPr="00A11DF6" w:rsidRDefault="00AA393E" w:rsidP="00D2219F">
      <w:pPr>
        <w:pStyle w:val="BodyText"/>
        <w:rPr>
          <w:lang w:val="en-GB"/>
        </w:rPr>
      </w:pPr>
      <w:r w:rsidRPr="00A11DF6">
        <w:rPr>
          <w:lang w:val="en-GB"/>
        </w:rPr>
        <w:t xml:space="preserve">The Task Force </w:t>
      </w:r>
      <w:r w:rsidR="00764B24">
        <w:rPr>
          <w:lang w:val="en-GB"/>
        </w:rPr>
        <w:t xml:space="preserve">primarily </w:t>
      </w:r>
      <w:r w:rsidRPr="00A11DF6">
        <w:rPr>
          <w:lang w:val="en-GB"/>
        </w:rPr>
        <w:t>reports to the RDA Europe Board of Directors (BoD) and the project director</w:t>
      </w:r>
      <w:r w:rsidR="009F2C4E" w:rsidRPr="00A11DF6">
        <w:rPr>
          <w:lang w:val="en-GB"/>
        </w:rPr>
        <w:t>, Peter Wittenburg</w:t>
      </w:r>
      <w:r w:rsidRPr="00A11DF6">
        <w:rPr>
          <w:lang w:val="en-GB"/>
        </w:rPr>
        <w:t>. The BoD has appointed Fotis Karayannis (</w:t>
      </w:r>
      <w:r w:rsidR="00585754" w:rsidRPr="00A11DF6">
        <w:rPr>
          <w:lang w:val="en-GB"/>
        </w:rPr>
        <w:t xml:space="preserve">RDA Secretariat, </w:t>
      </w:r>
      <w:r w:rsidRPr="00A11DF6">
        <w:rPr>
          <w:lang w:val="en-GB"/>
        </w:rPr>
        <w:t>ATHENA Research Centre)</w:t>
      </w:r>
      <w:r w:rsidR="00585754" w:rsidRPr="00A11DF6">
        <w:rPr>
          <w:lang w:val="en-GB"/>
        </w:rPr>
        <w:t xml:space="preserve"> as the Chair of the Task Force, while m</w:t>
      </w:r>
      <w:r w:rsidRPr="00A11DF6">
        <w:rPr>
          <w:lang w:val="en-GB"/>
        </w:rPr>
        <w:t>embers of the Task Fo</w:t>
      </w:r>
      <w:r w:rsidR="00585754" w:rsidRPr="00A11DF6">
        <w:rPr>
          <w:lang w:val="en-GB"/>
        </w:rPr>
        <w:t xml:space="preserve">rce (who either volunteered or were invited) </w:t>
      </w:r>
      <w:r w:rsidRPr="00A11DF6">
        <w:rPr>
          <w:lang w:val="en-GB"/>
        </w:rPr>
        <w:t xml:space="preserve">include </w:t>
      </w:r>
      <w:r w:rsidR="009F2C4E" w:rsidRPr="00A11DF6">
        <w:rPr>
          <w:lang w:val="en-GB"/>
        </w:rPr>
        <w:t xml:space="preserve">Peter Wittenburg (RDA Europe 3 coordinator), </w:t>
      </w:r>
      <w:r w:rsidRPr="00A11DF6">
        <w:rPr>
          <w:lang w:val="en-GB"/>
        </w:rPr>
        <w:t>Mark Parsons (RDA Secretary General), Hilary Hanahoe (RDA Europe</w:t>
      </w:r>
      <w:r w:rsidR="00585754" w:rsidRPr="00A11DF6">
        <w:rPr>
          <w:lang w:val="en-GB"/>
        </w:rPr>
        <w:t xml:space="preserve"> 3 </w:t>
      </w:r>
      <w:r w:rsidR="00274568" w:rsidRPr="00A11DF6">
        <w:rPr>
          <w:lang w:val="en-GB"/>
        </w:rPr>
        <w:t xml:space="preserve">partner </w:t>
      </w:r>
      <w:r w:rsidR="00585754" w:rsidRPr="00A11DF6">
        <w:rPr>
          <w:lang w:val="en-GB"/>
        </w:rPr>
        <w:t>and</w:t>
      </w:r>
      <w:r w:rsidRPr="00A11DF6">
        <w:rPr>
          <w:lang w:val="en-GB"/>
        </w:rPr>
        <w:t xml:space="preserve"> </w:t>
      </w:r>
      <w:r w:rsidR="00274568" w:rsidRPr="00A11DF6">
        <w:rPr>
          <w:lang w:val="en-GB"/>
        </w:rPr>
        <w:t xml:space="preserve">RDA Europe </w:t>
      </w:r>
      <w:r w:rsidRPr="00A11DF6">
        <w:rPr>
          <w:lang w:val="en-GB"/>
        </w:rPr>
        <w:t>4</w:t>
      </w:r>
      <w:r w:rsidR="00274568" w:rsidRPr="00A11DF6">
        <w:rPr>
          <w:lang w:val="en-GB"/>
        </w:rPr>
        <w:t xml:space="preserve"> coordinator</w:t>
      </w:r>
      <w:r w:rsidRPr="00A11DF6">
        <w:rPr>
          <w:lang w:val="en-GB"/>
        </w:rPr>
        <w:t xml:space="preserve">) and Sandra Collins, </w:t>
      </w:r>
      <w:r w:rsidR="00723B0D" w:rsidRPr="00A11DF6">
        <w:rPr>
          <w:lang w:val="en-GB"/>
        </w:rPr>
        <w:t>Fabrizio Gagliardi, Leif</w:t>
      </w:r>
      <w:r w:rsidRPr="00A11DF6">
        <w:rPr>
          <w:lang w:val="en-GB"/>
        </w:rPr>
        <w:t xml:space="preserve"> Laaksonen and Raphael Ritz (RDA Europe 3 partners)</w:t>
      </w:r>
      <w:r w:rsidR="006B0BD3" w:rsidRPr="00A11DF6">
        <w:rPr>
          <w:lang w:val="en-GB"/>
        </w:rPr>
        <w:t>.</w:t>
      </w:r>
      <w:r w:rsidR="00A674EF" w:rsidRPr="00A11DF6">
        <w:rPr>
          <w:lang w:val="en-GB"/>
        </w:rPr>
        <w:t xml:space="preserve"> ATHENA Research Center will receive 3 additional Person Months and 10.000 Euros of travel funding.</w:t>
      </w:r>
      <w:r w:rsidR="00764B24">
        <w:rPr>
          <w:lang w:val="en-GB"/>
        </w:rPr>
        <w:t xml:space="preserve"> ATHENA Research Center will organise the meetings and prepare their minutes, and act as the editor of the output document. The role of the Task Force members is to provide guidance and feedback.  </w:t>
      </w:r>
    </w:p>
    <w:p w:rsidR="00585754" w:rsidRPr="00A11DF6" w:rsidRDefault="00585754" w:rsidP="00AA393E">
      <w:pPr>
        <w:jc w:val="both"/>
        <w:rPr>
          <w:lang w:val="en-GB"/>
        </w:rPr>
      </w:pPr>
      <w:r w:rsidRPr="00A11DF6">
        <w:rPr>
          <w:lang w:val="en-GB"/>
        </w:rPr>
        <w:t xml:space="preserve">The Task Force </w:t>
      </w:r>
      <w:r w:rsidR="002E0726">
        <w:rPr>
          <w:lang w:val="en-GB"/>
        </w:rPr>
        <w:t xml:space="preserve"> will liaise </w:t>
      </w:r>
      <w:r w:rsidR="00AA393E" w:rsidRPr="00A11DF6">
        <w:rPr>
          <w:lang w:val="en-GB"/>
        </w:rPr>
        <w:t xml:space="preserve">with the </w:t>
      </w:r>
      <w:r w:rsidR="002E0726">
        <w:rPr>
          <w:lang w:val="en-GB"/>
        </w:rPr>
        <w:t xml:space="preserve">RDA Secretary General and above target stakeholders for feedback and in particular with the </w:t>
      </w:r>
      <w:r w:rsidRPr="00A11DF6">
        <w:rPr>
          <w:lang w:val="en-GB"/>
        </w:rPr>
        <w:t xml:space="preserve">relevant RDA Global </w:t>
      </w:r>
      <w:hyperlink r:id="rId9" w:history="1">
        <w:r w:rsidR="00AA393E" w:rsidRPr="00A11DF6">
          <w:rPr>
            <w:rStyle w:val="Hyperlink"/>
            <w:lang w:val="en-GB"/>
          </w:rPr>
          <w:t xml:space="preserve">Council </w:t>
        </w:r>
        <w:r w:rsidRPr="00A11DF6">
          <w:rPr>
            <w:rStyle w:val="Hyperlink"/>
            <w:lang w:val="en-GB"/>
          </w:rPr>
          <w:t>S</w:t>
        </w:r>
        <w:r w:rsidR="00AA393E" w:rsidRPr="00A11DF6">
          <w:rPr>
            <w:rStyle w:val="Hyperlink"/>
            <w:lang w:val="en-GB"/>
          </w:rPr>
          <w:t>ubcommittee</w:t>
        </w:r>
        <w:r w:rsidRPr="00A11DF6">
          <w:rPr>
            <w:rStyle w:val="Hyperlink"/>
            <w:lang w:val="en-GB"/>
          </w:rPr>
          <w:t>s</w:t>
        </w:r>
      </w:hyperlink>
      <w:r w:rsidR="002E0726">
        <w:rPr>
          <w:rStyle w:val="Hyperlink"/>
          <w:lang w:val="en-GB"/>
        </w:rPr>
        <w:t xml:space="preserve">: </w:t>
      </w:r>
    </w:p>
    <w:p w:rsidR="00AA393E" w:rsidRPr="00A11DF6" w:rsidRDefault="00585754" w:rsidP="00585754">
      <w:pPr>
        <w:pStyle w:val="ListParagraph"/>
        <w:numPr>
          <w:ilvl w:val="0"/>
          <w:numId w:val="4"/>
        </w:numPr>
        <w:jc w:val="both"/>
        <w:rPr>
          <w:lang w:val="en-GB"/>
        </w:rPr>
      </w:pPr>
      <w:r w:rsidRPr="00A11DF6">
        <w:rPr>
          <w:lang w:val="en-GB"/>
        </w:rPr>
        <w:t>Sustainability and Funding</w:t>
      </w:r>
      <w:r w:rsidR="00A674EF" w:rsidRPr="00A11DF6">
        <w:rPr>
          <w:lang w:val="en-GB"/>
        </w:rPr>
        <w:t xml:space="preserve"> (where Fotis Karayannis is also the RDA Secretariat liaison)</w:t>
      </w:r>
    </w:p>
    <w:p w:rsidR="00A272DC" w:rsidRDefault="00585754" w:rsidP="00A272DC">
      <w:pPr>
        <w:pStyle w:val="ListParagraph"/>
        <w:numPr>
          <w:ilvl w:val="0"/>
          <w:numId w:val="4"/>
        </w:numPr>
        <w:jc w:val="both"/>
        <w:rPr>
          <w:lang w:val="en-GB"/>
        </w:rPr>
      </w:pPr>
      <w:r w:rsidRPr="00A11DF6">
        <w:rPr>
          <w:lang w:val="en-GB"/>
        </w:rPr>
        <w:lastRenderedPageBreak/>
        <w:t>Finance</w:t>
      </w:r>
    </w:p>
    <w:p w:rsidR="00A272DC" w:rsidRPr="00A272DC" w:rsidRDefault="00A272DC" w:rsidP="00A272DC">
      <w:pPr>
        <w:jc w:val="both"/>
        <w:rPr>
          <w:lang w:val="en-GB"/>
        </w:rPr>
      </w:pPr>
      <w:r>
        <w:rPr>
          <w:lang w:val="en-GB"/>
        </w:rPr>
        <w:t xml:space="preserve">The Task Force will use and refine the existing work from the above subcommittees, in particular the work on the RDA Global budgeting and business plan. </w:t>
      </w:r>
    </w:p>
    <w:p w:rsidR="00BD3983" w:rsidRPr="00A11DF6" w:rsidRDefault="00BD3983" w:rsidP="00BD3983">
      <w:pPr>
        <w:pStyle w:val="Heading1"/>
        <w:rPr>
          <w:lang w:val="en-GB"/>
        </w:rPr>
      </w:pPr>
      <w:r w:rsidRPr="00A11DF6">
        <w:rPr>
          <w:lang w:val="en-GB"/>
        </w:rPr>
        <w:t xml:space="preserve">Duration and </w:t>
      </w:r>
      <w:r w:rsidR="00585754" w:rsidRPr="00A11DF6">
        <w:rPr>
          <w:lang w:val="en-GB"/>
        </w:rPr>
        <w:t>Milestones</w:t>
      </w:r>
    </w:p>
    <w:p w:rsidR="00BD3983" w:rsidRPr="00A11DF6" w:rsidRDefault="006B0BD3" w:rsidP="00D2219F">
      <w:pPr>
        <w:jc w:val="both"/>
        <w:rPr>
          <w:lang w:val="en-GB"/>
        </w:rPr>
      </w:pPr>
      <w:r w:rsidRPr="00A11DF6">
        <w:rPr>
          <w:lang w:val="en-GB"/>
        </w:rPr>
        <w:t xml:space="preserve">The </w:t>
      </w:r>
      <w:r w:rsidR="00585754" w:rsidRPr="00A11DF6">
        <w:rPr>
          <w:lang w:val="en-GB"/>
        </w:rPr>
        <w:t xml:space="preserve">overall duration of the Task Force </w:t>
      </w:r>
      <w:r w:rsidR="00CE37CB" w:rsidRPr="00A11DF6">
        <w:rPr>
          <w:lang w:val="en-GB"/>
        </w:rPr>
        <w:t xml:space="preserve">spans from February 2017 to around </w:t>
      </w:r>
      <w:r w:rsidR="001925F9">
        <w:rPr>
          <w:lang w:val="en-GB"/>
        </w:rPr>
        <w:t xml:space="preserve"> February 2018</w:t>
      </w:r>
      <w:r w:rsidR="00CE37CB" w:rsidRPr="00A11DF6">
        <w:rPr>
          <w:lang w:val="en-GB"/>
        </w:rPr>
        <w:t xml:space="preserve">, </w:t>
      </w:r>
      <w:r w:rsidR="001925F9">
        <w:rPr>
          <w:lang w:val="en-GB"/>
        </w:rPr>
        <w:t xml:space="preserve">when RDA Europe 3.0 is expected to close, and </w:t>
      </w:r>
      <w:r w:rsidR="00CE37CB" w:rsidRPr="00A11DF6">
        <w:rPr>
          <w:lang w:val="en-GB"/>
        </w:rPr>
        <w:t>depending also on the starting date of the RDA Europe 4</w:t>
      </w:r>
      <w:r w:rsidR="00A272DC">
        <w:rPr>
          <w:lang w:val="en-GB"/>
        </w:rPr>
        <w:t>.0</w:t>
      </w:r>
      <w:r w:rsidR="00CE37CB" w:rsidRPr="00A11DF6">
        <w:rPr>
          <w:lang w:val="en-GB"/>
        </w:rPr>
        <w:t xml:space="preserve"> project. </w:t>
      </w:r>
      <w:r w:rsidR="001925F9">
        <w:rPr>
          <w:lang w:val="en-GB"/>
        </w:rPr>
        <w:t xml:space="preserve">The Task Force will try to use the RDA Plenaries to present its work progress to relevant stakeholders, depending on its progress. </w:t>
      </w:r>
      <w:r w:rsidR="008757FE" w:rsidRPr="00A11DF6">
        <w:rPr>
          <w:lang w:val="en-GB"/>
        </w:rPr>
        <w:t xml:space="preserve">First major focus dimensions will be presented at the formal review </w:t>
      </w:r>
      <w:r w:rsidR="009F2C4E" w:rsidRPr="00A11DF6">
        <w:rPr>
          <w:lang w:val="en-GB"/>
        </w:rPr>
        <w:t xml:space="preserve">in the </w:t>
      </w:r>
      <w:r w:rsidR="008757FE" w:rsidRPr="00A11DF6">
        <w:rPr>
          <w:lang w:val="en-GB"/>
        </w:rPr>
        <w:t>begin</w:t>
      </w:r>
      <w:r w:rsidR="009F2C4E" w:rsidRPr="00A11DF6">
        <w:rPr>
          <w:lang w:val="en-GB"/>
        </w:rPr>
        <w:t>ning</w:t>
      </w:r>
      <w:r w:rsidR="008757FE" w:rsidRPr="00A11DF6">
        <w:rPr>
          <w:lang w:val="en-GB"/>
        </w:rPr>
        <w:t xml:space="preserve"> of May. </w:t>
      </w:r>
      <w:r w:rsidR="00CE37CB" w:rsidRPr="00A11DF6">
        <w:rPr>
          <w:lang w:val="en-GB"/>
        </w:rPr>
        <w:t>A first draft of the T</w:t>
      </w:r>
      <w:r w:rsidR="00A11DF6">
        <w:rPr>
          <w:lang w:val="en-GB"/>
        </w:rPr>
        <w:t xml:space="preserve">ask </w:t>
      </w:r>
      <w:r w:rsidR="00CE37CB" w:rsidRPr="00A11DF6">
        <w:rPr>
          <w:lang w:val="en-GB"/>
        </w:rPr>
        <w:t>F</w:t>
      </w:r>
      <w:r w:rsidR="00A11DF6">
        <w:rPr>
          <w:lang w:val="en-GB"/>
        </w:rPr>
        <w:t>orce</w:t>
      </w:r>
      <w:r w:rsidR="00CE37CB" w:rsidRPr="00A11DF6">
        <w:rPr>
          <w:lang w:val="en-GB"/>
        </w:rPr>
        <w:t xml:space="preserve"> output will be ready by the end of July 2017, while the final document will be delivered with the closing of the Task Force. </w:t>
      </w:r>
    </w:p>
    <w:p w:rsidR="00CE37CB" w:rsidRPr="00A11DF6" w:rsidRDefault="00CE37CB" w:rsidP="00CE37CB">
      <w:pPr>
        <w:pStyle w:val="Heading1"/>
        <w:rPr>
          <w:lang w:val="en-GB"/>
        </w:rPr>
      </w:pPr>
      <w:r w:rsidRPr="00A11DF6">
        <w:rPr>
          <w:lang w:val="en-GB"/>
        </w:rPr>
        <w:t>Communication and Reporting</w:t>
      </w:r>
    </w:p>
    <w:p w:rsidR="00BE3D1F" w:rsidRPr="00A11DF6" w:rsidRDefault="00CE37CB" w:rsidP="00255796">
      <w:pPr>
        <w:jc w:val="both"/>
        <w:rPr>
          <w:sz w:val="20"/>
          <w:lang w:val="en-GB"/>
        </w:rPr>
      </w:pPr>
      <w:r w:rsidRPr="00A11DF6">
        <w:rPr>
          <w:lang w:val="en-GB"/>
        </w:rPr>
        <w:t xml:space="preserve">A dedicated </w:t>
      </w:r>
      <w:r w:rsidR="00427E39">
        <w:rPr>
          <w:lang w:val="en-GB"/>
        </w:rPr>
        <w:t>internal</w:t>
      </w:r>
      <w:r w:rsidRPr="00A11DF6">
        <w:rPr>
          <w:lang w:val="en-GB"/>
        </w:rPr>
        <w:t xml:space="preserve"> RDA </w:t>
      </w:r>
      <w:r w:rsidR="001925F9">
        <w:rPr>
          <w:lang w:val="en-GB"/>
        </w:rPr>
        <w:t>Organic G</w:t>
      </w:r>
      <w:r w:rsidRPr="00A11DF6">
        <w:rPr>
          <w:lang w:val="en-GB"/>
        </w:rPr>
        <w:t xml:space="preserve">roup will be set up to facilitate communications. Also, conference calls and workshops may be held. </w:t>
      </w:r>
      <w:r w:rsidR="00BD3983" w:rsidRPr="00A11DF6">
        <w:rPr>
          <w:lang w:val="en-GB"/>
        </w:rPr>
        <w:t>The</w:t>
      </w:r>
      <w:r w:rsidR="006B0BD3" w:rsidRPr="00A11DF6">
        <w:rPr>
          <w:lang w:val="en-GB"/>
        </w:rPr>
        <w:t xml:space="preserve"> Task Force </w:t>
      </w:r>
      <w:r w:rsidRPr="00A11DF6">
        <w:rPr>
          <w:lang w:val="en-GB"/>
        </w:rPr>
        <w:t>Chair</w:t>
      </w:r>
      <w:r w:rsidR="00BD3983" w:rsidRPr="00A11DF6">
        <w:rPr>
          <w:lang w:val="en-GB"/>
        </w:rPr>
        <w:t xml:space="preserve"> will report the </w:t>
      </w:r>
      <w:r w:rsidR="00AF54C3" w:rsidRPr="00A11DF6">
        <w:rPr>
          <w:lang w:val="en-GB"/>
        </w:rPr>
        <w:t xml:space="preserve">status </w:t>
      </w:r>
      <w:r w:rsidR="00BD3983" w:rsidRPr="00A11DF6">
        <w:rPr>
          <w:lang w:val="en-GB"/>
        </w:rPr>
        <w:t xml:space="preserve">of </w:t>
      </w:r>
      <w:r w:rsidR="006B0BD3" w:rsidRPr="00A11DF6">
        <w:rPr>
          <w:lang w:val="en-GB"/>
        </w:rPr>
        <w:t>this activity</w:t>
      </w:r>
      <w:r w:rsidR="00256345">
        <w:rPr>
          <w:lang w:val="en-GB"/>
        </w:rPr>
        <w:t xml:space="preserve"> to the project</w:t>
      </w:r>
      <w:r w:rsidR="006B0BD3" w:rsidRPr="00A11DF6">
        <w:rPr>
          <w:lang w:val="en-GB"/>
        </w:rPr>
        <w:t xml:space="preserve"> at </w:t>
      </w:r>
      <w:r w:rsidRPr="00A11DF6">
        <w:rPr>
          <w:lang w:val="en-GB"/>
        </w:rPr>
        <w:t xml:space="preserve">BoD meetings and other major European meetings. </w:t>
      </w:r>
    </w:p>
    <w:sectPr w:rsidR="00BE3D1F" w:rsidRPr="00A11DF6">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494" w:rsidRDefault="00347494" w:rsidP="00B36CB1">
      <w:pPr>
        <w:spacing w:after="0" w:line="240" w:lineRule="auto"/>
      </w:pPr>
      <w:r>
        <w:separator/>
      </w:r>
    </w:p>
  </w:endnote>
  <w:endnote w:type="continuationSeparator" w:id="0">
    <w:p w:rsidR="00347494" w:rsidRDefault="00347494" w:rsidP="00B36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500000000000000"/>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B0500000000000000"/>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47266"/>
      <w:docPartObj>
        <w:docPartGallery w:val="Page Numbers (Bottom of Page)"/>
        <w:docPartUnique/>
      </w:docPartObj>
    </w:sdtPr>
    <w:sdtEndPr>
      <w:rPr>
        <w:noProof/>
      </w:rPr>
    </w:sdtEndPr>
    <w:sdtContent>
      <w:p w:rsidR="00B36CB1" w:rsidRDefault="00B36CB1">
        <w:pPr>
          <w:pStyle w:val="Footer"/>
          <w:jc w:val="center"/>
        </w:pPr>
        <w:r>
          <w:fldChar w:fldCharType="begin"/>
        </w:r>
        <w:r>
          <w:instrText xml:space="preserve"> PAGE   \* MERGEFORMAT </w:instrText>
        </w:r>
        <w:r>
          <w:fldChar w:fldCharType="separate"/>
        </w:r>
        <w:r w:rsidR="00601AC5">
          <w:rPr>
            <w:noProof/>
          </w:rPr>
          <w:t>1</w:t>
        </w:r>
        <w:r>
          <w:rPr>
            <w:noProof/>
          </w:rPr>
          <w:fldChar w:fldCharType="end"/>
        </w:r>
      </w:p>
    </w:sdtContent>
  </w:sdt>
  <w:p w:rsidR="00B36CB1" w:rsidRDefault="00B36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494" w:rsidRDefault="00347494" w:rsidP="00B36CB1">
      <w:pPr>
        <w:spacing w:after="0" w:line="240" w:lineRule="auto"/>
      </w:pPr>
      <w:r>
        <w:separator/>
      </w:r>
    </w:p>
  </w:footnote>
  <w:footnote w:type="continuationSeparator" w:id="0">
    <w:p w:rsidR="00347494" w:rsidRDefault="00347494" w:rsidP="00B36C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4EFF"/>
    <w:multiLevelType w:val="hybridMultilevel"/>
    <w:tmpl w:val="8A70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95C57"/>
    <w:multiLevelType w:val="hybridMultilevel"/>
    <w:tmpl w:val="71484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AD16FD"/>
    <w:multiLevelType w:val="multilevel"/>
    <w:tmpl w:val="0408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94F4355"/>
    <w:multiLevelType w:val="hybridMultilevel"/>
    <w:tmpl w:val="C360D74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528C7C46"/>
    <w:multiLevelType w:val="hybridMultilevel"/>
    <w:tmpl w:val="B6489734"/>
    <w:lvl w:ilvl="0" w:tplc="2BC68F30">
      <w:start w:val="1"/>
      <w:numFmt w:val="bullet"/>
      <w:lvlText w:val=""/>
      <w:lvlJc w:val="left"/>
      <w:pPr>
        <w:tabs>
          <w:tab w:val="num" w:pos="720"/>
        </w:tabs>
        <w:ind w:left="720" w:hanging="360"/>
      </w:pPr>
      <w:rPr>
        <w:rFonts w:ascii="Wingdings" w:hAnsi="Wingdings" w:hint="default"/>
      </w:rPr>
    </w:lvl>
    <w:lvl w:ilvl="1" w:tplc="D1D6B562" w:tentative="1">
      <w:start w:val="1"/>
      <w:numFmt w:val="bullet"/>
      <w:lvlText w:val=""/>
      <w:lvlJc w:val="left"/>
      <w:pPr>
        <w:tabs>
          <w:tab w:val="num" w:pos="1440"/>
        </w:tabs>
        <w:ind w:left="1440" w:hanging="360"/>
      </w:pPr>
      <w:rPr>
        <w:rFonts w:ascii="Wingdings" w:hAnsi="Wingdings" w:hint="default"/>
      </w:rPr>
    </w:lvl>
    <w:lvl w:ilvl="2" w:tplc="251C238E" w:tentative="1">
      <w:start w:val="1"/>
      <w:numFmt w:val="bullet"/>
      <w:lvlText w:val=""/>
      <w:lvlJc w:val="left"/>
      <w:pPr>
        <w:tabs>
          <w:tab w:val="num" w:pos="2160"/>
        </w:tabs>
        <w:ind w:left="2160" w:hanging="360"/>
      </w:pPr>
      <w:rPr>
        <w:rFonts w:ascii="Wingdings" w:hAnsi="Wingdings" w:hint="default"/>
      </w:rPr>
    </w:lvl>
    <w:lvl w:ilvl="3" w:tplc="7E88A57A" w:tentative="1">
      <w:start w:val="1"/>
      <w:numFmt w:val="bullet"/>
      <w:lvlText w:val=""/>
      <w:lvlJc w:val="left"/>
      <w:pPr>
        <w:tabs>
          <w:tab w:val="num" w:pos="2880"/>
        </w:tabs>
        <w:ind w:left="2880" w:hanging="360"/>
      </w:pPr>
      <w:rPr>
        <w:rFonts w:ascii="Wingdings" w:hAnsi="Wingdings" w:hint="default"/>
      </w:rPr>
    </w:lvl>
    <w:lvl w:ilvl="4" w:tplc="D02A6344" w:tentative="1">
      <w:start w:val="1"/>
      <w:numFmt w:val="bullet"/>
      <w:lvlText w:val=""/>
      <w:lvlJc w:val="left"/>
      <w:pPr>
        <w:tabs>
          <w:tab w:val="num" w:pos="3600"/>
        </w:tabs>
        <w:ind w:left="3600" w:hanging="360"/>
      </w:pPr>
      <w:rPr>
        <w:rFonts w:ascii="Wingdings" w:hAnsi="Wingdings" w:hint="default"/>
      </w:rPr>
    </w:lvl>
    <w:lvl w:ilvl="5" w:tplc="A27CF08C" w:tentative="1">
      <w:start w:val="1"/>
      <w:numFmt w:val="bullet"/>
      <w:lvlText w:val=""/>
      <w:lvlJc w:val="left"/>
      <w:pPr>
        <w:tabs>
          <w:tab w:val="num" w:pos="4320"/>
        </w:tabs>
        <w:ind w:left="4320" w:hanging="360"/>
      </w:pPr>
      <w:rPr>
        <w:rFonts w:ascii="Wingdings" w:hAnsi="Wingdings" w:hint="default"/>
      </w:rPr>
    </w:lvl>
    <w:lvl w:ilvl="6" w:tplc="D9286F86" w:tentative="1">
      <w:start w:val="1"/>
      <w:numFmt w:val="bullet"/>
      <w:lvlText w:val=""/>
      <w:lvlJc w:val="left"/>
      <w:pPr>
        <w:tabs>
          <w:tab w:val="num" w:pos="5040"/>
        </w:tabs>
        <w:ind w:left="5040" w:hanging="360"/>
      </w:pPr>
      <w:rPr>
        <w:rFonts w:ascii="Wingdings" w:hAnsi="Wingdings" w:hint="default"/>
      </w:rPr>
    </w:lvl>
    <w:lvl w:ilvl="7" w:tplc="C4C8A080" w:tentative="1">
      <w:start w:val="1"/>
      <w:numFmt w:val="bullet"/>
      <w:lvlText w:val=""/>
      <w:lvlJc w:val="left"/>
      <w:pPr>
        <w:tabs>
          <w:tab w:val="num" w:pos="5760"/>
        </w:tabs>
        <w:ind w:left="5760" w:hanging="360"/>
      </w:pPr>
      <w:rPr>
        <w:rFonts w:ascii="Wingdings" w:hAnsi="Wingdings" w:hint="default"/>
      </w:rPr>
    </w:lvl>
    <w:lvl w:ilvl="8" w:tplc="D58E21D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DB55C0"/>
    <w:multiLevelType w:val="hybridMultilevel"/>
    <w:tmpl w:val="BEC29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685927"/>
    <w:multiLevelType w:val="hybridMultilevel"/>
    <w:tmpl w:val="0C881E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IE" w:vendorID="64" w:dllVersion="0" w:nlCheck="1" w:checkStyle="0"/>
  <w:activeWritingStyle w:appName="MSWord" w:lang="en-GB" w:vendorID="64" w:dllVersion="0" w:nlCheck="1" w:checkStyle="0"/>
  <w:activeWritingStyle w:appName="MSWord" w:lang="en-IE" w:vendorID="64" w:dllVersion="6" w:nlCheck="1" w:checkStyle="1"/>
  <w:activeWritingStyle w:appName="MSWord" w:lang="en-GB" w:vendorID="64" w:dllVersion="6"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30B"/>
    <w:rsid w:val="00030D5E"/>
    <w:rsid w:val="001232FB"/>
    <w:rsid w:val="00167BB3"/>
    <w:rsid w:val="0017342D"/>
    <w:rsid w:val="001925F9"/>
    <w:rsid w:val="001D0D9E"/>
    <w:rsid w:val="00243A6C"/>
    <w:rsid w:val="00255796"/>
    <w:rsid w:val="00256345"/>
    <w:rsid w:val="00274568"/>
    <w:rsid w:val="002D55ED"/>
    <w:rsid w:val="002E0726"/>
    <w:rsid w:val="002E0F0B"/>
    <w:rsid w:val="002E223B"/>
    <w:rsid w:val="003340E3"/>
    <w:rsid w:val="00347494"/>
    <w:rsid w:val="0035263F"/>
    <w:rsid w:val="003942AB"/>
    <w:rsid w:val="0041492B"/>
    <w:rsid w:val="00427E39"/>
    <w:rsid w:val="004351C7"/>
    <w:rsid w:val="00443F1B"/>
    <w:rsid w:val="004C2620"/>
    <w:rsid w:val="00544CDC"/>
    <w:rsid w:val="00550648"/>
    <w:rsid w:val="0057440B"/>
    <w:rsid w:val="00580702"/>
    <w:rsid w:val="00585754"/>
    <w:rsid w:val="005B45D3"/>
    <w:rsid w:val="005F7B57"/>
    <w:rsid w:val="00601AC5"/>
    <w:rsid w:val="006B0BD3"/>
    <w:rsid w:val="00723B0D"/>
    <w:rsid w:val="00731BFA"/>
    <w:rsid w:val="00764B24"/>
    <w:rsid w:val="00795693"/>
    <w:rsid w:val="007C0A7A"/>
    <w:rsid w:val="007D3CED"/>
    <w:rsid w:val="00864A5A"/>
    <w:rsid w:val="008757FE"/>
    <w:rsid w:val="008778C8"/>
    <w:rsid w:val="008B1C16"/>
    <w:rsid w:val="008B4665"/>
    <w:rsid w:val="008C78C1"/>
    <w:rsid w:val="008F0EC6"/>
    <w:rsid w:val="00905CD2"/>
    <w:rsid w:val="00950F6A"/>
    <w:rsid w:val="00960AC4"/>
    <w:rsid w:val="00974332"/>
    <w:rsid w:val="009D5F25"/>
    <w:rsid w:val="009F2C4E"/>
    <w:rsid w:val="00A11DF6"/>
    <w:rsid w:val="00A272DC"/>
    <w:rsid w:val="00A301BA"/>
    <w:rsid w:val="00A468C1"/>
    <w:rsid w:val="00A674EF"/>
    <w:rsid w:val="00A77A71"/>
    <w:rsid w:val="00A80191"/>
    <w:rsid w:val="00A93A63"/>
    <w:rsid w:val="00AA393E"/>
    <w:rsid w:val="00AF54C3"/>
    <w:rsid w:val="00B20751"/>
    <w:rsid w:val="00B36CB1"/>
    <w:rsid w:val="00B44410"/>
    <w:rsid w:val="00B60841"/>
    <w:rsid w:val="00B6155B"/>
    <w:rsid w:val="00BD3983"/>
    <w:rsid w:val="00BE3D1F"/>
    <w:rsid w:val="00BE5D56"/>
    <w:rsid w:val="00BF23DC"/>
    <w:rsid w:val="00C0650D"/>
    <w:rsid w:val="00C2063C"/>
    <w:rsid w:val="00C47CAE"/>
    <w:rsid w:val="00CE37CB"/>
    <w:rsid w:val="00D2219F"/>
    <w:rsid w:val="00D424C4"/>
    <w:rsid w:val="00D8597F"/>
    <w:rsid w:val="00DA736A"/>
    <w:rsid w:val="00DB16EC"/>
    <w:rsid w:val="00DE6916"/>
    <w:rsid w:val="00DF430B"/>
    <w:rsid w:val="00E84004"/>
    <w:rsid w:val="00F626C8"/>
    <w:rsid w:val="00F76EC8"/>
    <w:rsid w:val="00F85CBE"/>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47B3724-B362-469F-850F-EB490EC0B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43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B16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30B"/>
    <w:rPr>
      <w:rFonts w:ascii="Tahoma" w:hAnsi="Tahoma" w:cs="Tahoma"/>
      <w:sz w:val="16"/>
      <w:szCs w:val="16"/>
    </w:rPr>
  </w:style>
  <w:style w:type="table" w:styleId="TableGrid">
    <w:name w:val="Table Grid"/>
    <w:basedOn w:val="TableNormal"/>
    <w:uiPriority w:val="59"/>
    <w:rsid w:val="00DF4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F430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F43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430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44C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44CDC"/>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semiHidden/>
    <w:rsid w:val="00DB16EC"/>
    <w:rPr>
      <w:rFonts w:asciiTheme="majorHAnsi" w:eastAsiaTheme="majorEastAsia" w:hAnsiTheme="majorHAnsi" w:cstheme="majorBidi"/>
      <w:b/>
      <w:bCs/>
      <w:color w:val="4F81BD" w:themeColor="accent1"/>
    </w:rPr>
  </w:style>
  <w:style w:type="character" w:customStyle="1" w:styleId="st">
    <w:name w:val="st"/>
    <w:basedOn w:val="DefaultParagraphFont"/>
    <w:rsid w:val="00DB16EC"/>
  </w:style>
  <w:style w:type="character" w:styleId="Emphasis">
    <w:name w:val="Emphasis"/>
    <w:basedOn w:val="DefaultParagraphFont"/>
    <w:uiPriority w:val="20"/>
    <w:qFormat/>
    <w:rsid w:val="00DB16EC"/>
    <w:rPr>
      <w:i/>
      <w:iCs/>
    </w:rPr>
  </w:style>
  <w:style w:type="character" w:styleId="Hyperlink">
    <w:name w:val="Hyperlink"/>
    <w:basedOn w:val="DefaultParagraphFont"/>
    <w:uiPriority w:val="99"/>
    <w:unhideWhenUsed/>
    <w:rsid w:val="004C2620"/>
    <w:rPr>
      <w:color w:val="0000FF" w:themeColor="hyperlink"/>
      <w:u w:val="single"/>
    </w:rPr>
  </w:style>
  <w:style w:type="paragraph" w:styleId="Caption">
    <w:name w:val="caption"/>
    <w:basedOn w:val="Normal"/>
    <w:next w:val="Normal"/>
    <w:uiPriority w:val="35"/>
    <w:unhideWhenUsed/>
    <w:qFormat/>
    <w:rsid w:val="00B36CB1"/>
    <w:pPr>
      <w:spacing w:line="240" w:lineRule="auto"/>
    </w:pPr>
    <w:rPr>
      <w:b/>
      <w:bCs/>
      <w:color w:val="4F81BD" w:themeColor="accent1"/>
      <w:sz w:val="18"/>
      <w:szCs w:val="18"/>
    </w:rPr>
  </w:style>
  <w:style w:type="paragraph" w:styleId="Header">
    <w:name w:val="header"/>
    <w:basedOn w:val="Normal"/>
    <w:link w:val="HeaderChar"/>
    <w:uiPriority w:val="99"/>
    <w:unhideWhenUsed/>
    <w:rsid w:val="00B36CB1"/>
    <w:pPr>
      <w:tabs>
        <w:tab w:val="center" w:pos="4252"/>
        <w:tab w:val="right" w:pos="8504"/>
      </w:tabs>
      <w:spacing w:after="0" w:line="240" w:lineRule="auto"/>
    </w:pPr>
  </w:style>
  <w:style w:type="character" w:customStyle="1" w:styleId="HeaderChar">
    <w:name w:val="Header Char"/>
    <w:basedOn w:val="DefaultParagraphFont"/>
    <w:link w:val="Header"/>
    <w:uiPriority w:val="99"/>
    <w:rsid w:val="00B36CB1"/>
  </w:style>
  <w:style w:type="paragraph" w:styleId="Footer">
    <w:name w:val="footer"/>
    <w:basedOn w:val="Normal"/>
    <w:link w:val="FooterChar"/>
    <w:uiPriority w:val="99"/>
    <w:unhideWhenUsed/>
    <w:rsid w:val="00B36CB1"/>
    <w:pPr>
      <w:tabs>
        <w:tab w:val="center" w:pos="4252"/>
        <w:tab w:val="right" w:pos="8504"/>
      </w:tabs>
      <w:spacing w:after="0" w:line="240" w:lineRule="auto"/>
    </w:pPr>
  </w:style>
  <w:style w:type="character" w:customStyle="1" w:styleId="FooterChar">
    <w:name w:val="Footer Char"/>
    <w:basedOn w:val="DefaultParagraphFont"/>
    <w:link w:val="Footer"/>
    <w:uiPriority w:val="99"/>
    <w:rsid w:val="00B36CB1"/>
  </w:style>
  <w:style w:type="character" w:styleId="CommentReference">
    <w:name w:val="annotation reference"/>
    <w:basedOn w:val="DefaultParagraphFont"/>
    <w:uiPriority w:val="99"/>
    <w:semiHidden/>
    <w:unhideWhenUsed/>
    <w:rsid w:val="00E84004"/>
    <w:rPr>
      <w:sz w:val="16"/>
      <w:szCs w:val="16"/>
    </w:rPr>
  </w:style>
  <w:style w:type="paragraph" w:styleId="CommentText">
    <w:name w:val="annotation text"/>
    <w:basedOn w:val="Normal"/>
    <w:link w:val="CommentTextChar"/>
    <w:uiPriority w:val="99"/>
    <w:semiHidden/>
    <w:unhideWhenUsed/>
    <w:rsid w:val="00E84004"/>
    <w:pPr>
      <w:spacing w:line="240" w:lineRule="auto"/>
    </w:pPr>
    <w:rPr>
      <w:sz w:val="20"/>
      <w:szCs w:val="20"/>
    </w:rPr>
  </w:style>
  <w:style w:type="character" w:customStyle="1" w:styleId="CommentTextChar">
    <w:name w:val="Comment Text Char"/>
    <w:basedOn w:val="DefaultParagraphFont"/>
    <w:link w:val="CommentText"/>
    <w:uiPriority w:val="99"/>
    <w:semiHidden/>
    <w:rsid w:val="00E84004"/>
    <w:rPr>
      <w:sz w:val="20"/>
      <w:szCs w:val="20"/>
    </w:rPr>
  </w:style>
  <w:style w:type="paragraph" w:styleId="CommentSubject">
    <w:name w:val="annotation subject"/>
    <w:basedOn w:val="CommentText"/>
    <w:next w:val="CommentText"/>
    <w:link w:val="CommentSubjectChar"/>
    <w:uiPriority w:val="99"/>
    <w:semiHidden/>
    <w:unhideWhenUsed/>
    <w:rsid w:val="00E84004"/>
    <w:rPr>
      <w:b/>
      <w:bCs/>
    </w:rPr>
  </w:style>
  <w:style w:type="character" w:customStyle="1" w:styleId="CommentSubjectChar">
    <w:name w:val="Comment Subject Char"/>
    <w:basedOn w:val="CommentTextChar"/>
    <w:link w:val="CommentSubject"/>
    <w:uiPriority w:val="99"/>
    <w:semiHidden/>
    <w:rsid w:val="00E84004"/>
    <w:rPr>
      <w:b/>
      <w:bCs/>
      <w:sz w:val="20"/>
      <w:szCs w:val="20"/>
    </w:rPr>
  </w:style>
  <w:style w:type="paragraph" w:styleId="BodyText">
    <w:name w:val="Body Text"/>
    <w:basedOn w:val="Normal"/>
    <w:link w:val="BodyTextChar"/>
    <w:uiPriority w:val="99"/>
    <w:unhideWhenUsed/>
    <w:rsid w:val="00D2219F"/>
    <w:pPr>
      <w:jc w:val="both"/>
    </w:pPr>
  </w:style>
  <w:style w:type="character" w:customStyle="1" w:styleId="BodyTextChar">
    <w:name w:val="Body Text Char"/>
    <w:basedOn w:val="DefaultParagraphFont"/>
    <w:link w:val="BodyText"/>
    <w:uiPriority w:val="99"/>
    <w:rsid w:val="00D2219F"/>
  </w:style>
  <w:style w:type="paragraph" w:styleId="ListParagraph">
    <w:name w:val="List Paragraph"/>
    <w:basedOn w:val="Normal"/>
    <w:uiPriority w:val="34"/>
    <w:qFormat/>
    <w:rsid w:val="00A468C1"/>
    <w:pPr>
      <w:ind w:left="720"/>
      <w:contextualSpacing/>
    </w:pPr>
  </w:style>
  <w:style w:type="character" w:customStyle="1" w:styleId="Mention1">
    <w:name w:val="Mention1"/>
    <w:basedOn w:val="DefaultParagraphFont"/>
    <w:uiPriority w:val="99"/>
    <w:semiHidden/>
    <w:unhideWhenUsed/>
    <w:rsid w:val="0058575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61852">
      <w:bodyDiv w:val="1"/>
      <w:marLeft w:val="0"/>
      <w:marRight w:val="0"/>
      <w:marTop w:val="0"/>
      <w:marBottom w:val="0"/>
      <w:divBdr>
        <w:top w:val="none" w:sz="0" w:space="0" w:color="auto"/>
        <w:left w:val="none" w:sz="0" w:space="0" w:color="auto"/>
        <w:bottom w:val="none" w:sz="0" w:space="0" w:color="auto"/>
        <w:right w:val="none" w:sz="0" w:space="0" w:color="auto"/>
      </w:divBdr>
    </w:div>
    <w:div w:id="260378820">
      <w:bodyDiv w:val="1"/>
      <w:marLeft w:val="0"/>
      <w:marRight w:val="0"/>
      <w:marTop w:val="0"/>
      <w:marBottom w:val="0"/>
      <w:divBdr>
        <w:top w:val="none" w:sz="0" w:space="0" w:color="auto"/>
        <w:left w:val="none" w:sz="0" w:space="0" w:color="auto"/>
        <w:bottom w:val="none" w:sz="0" w:space="0" w:color="auto"/>
        <w:right w:val="none" w:sz="0" w:space="0" w:color="auto"/>
      </w:divBdr>
    </w:div>
    <w:div w:id="1339234177">
      <w:bodyDiv w:val="1"/>
      <w:marLeft w:val="0"/>
      <w:marRight w:val="0"/>
      <w:marTop w:val="0"/>
      <w:marBottom w:val="0"/>
      <w:divBdr>
        <w:top w:val="none" w:sz="0" w:space="0" w:color="auto"/>
        <w:left w:val="none" w:sz="0" w:space="0" w:color="auto"/>
        <w:bottom w:val="none" w:sz="0" w:space="0" w:color="auto"/>
        <w:right w:val="none" w:sz="0" w:space="0" w:color="auto"/>
      </w:divBdr>
    </w:div>
    <w:div w:id="1479226841">
      <w:bodyDiv w:val="1"/>
      <w:marLeft w:val="0"/>
      <w:marRight w:val="0"/>
      <w:marTop w:val="0"/>
      <w:marBottom w:val="0"/>
      <w:divBdr>
        <w:top w:val="none" w:sz="0" w:space="0" w:color="auto"/>
        <w:left w:val="none" w:sz="0" w:space="0" w:color="auto"/>
        <w:bottom w:val="none" w:sz="0" w:space="0" w:color="auto"/>
        <w:right w:val="none" w:sz="0" w:space="0" w:color="auto"/>
      </w:divBdr>
    </w:div>
    <w:div w:id="1576548984">
      <w:bodyDiv w:val="1"/>
      <w:marLeft w:val="0"/>
      <w:marRight w:val="0"/>
      <w:marTop w:val="0"/>
      <w:marBottom w:val="0"/>
      <w:divBdr>
        <w:top w:val="none" w:sz="0" w:space="0" w:color="auto"/>
        <w:left w:val="none" w:sz="0" w:space="0" w:color="auto"/>
        <w:bottom w:val="none" w:sz="0" w:space="0" w:color="auto"/>
        <w:right w:val="none" w:sz="0" w:space="0" w:color="auto"/>
      </w:divBdr>
      <w:divsChild>
        <w:div w:id="462237744">
          <w:marLeft w:val="677"/>
          <w:marRight w:val="0"/>
          <w:marTop w:val="240"/>
          <w:marBottom w:val="40"/>
          <w:divBdr>
            <w:top w:val="none" w:sz="0" w:space="0" w:color="auto"/>
            <w:left w:val="none" w:sz="0" w:space="0" w:color="auto"/>
            <w:bottom w:val="none" w:sz="0" w:space="0" w:color="auto"/>
            <w:right w:val="none" w:sz="0" w:space="0" w:color="auto"/>
          </w:divBdr>
        </w:div>
        <w:div w:id="661735521">
          <w:marLeft w:val="677"/>
          <w:marRight w:val="0"/>
          <w:marTop w:val="240"/>
          <w:marBottom w:val="40"/>
          <w:divBdr>
            <w:top w:val="none" w:sz="0" w:space="0" w:color="auto"/>
            <w:left w:val="none" w:sz="0" w:space="0" w:color="auto"/>
            <w:bottom w:val="none" w:sz="0" w:space="0" w:color="auto"/>
            <w:right w:val="none" w:sz="0" w:space="0" w:color="auto"/>
          </w:divBdr>
        </w:div>
      </w:divsChild>
    </w:div>
    <w:div w:id="1670861287">
      <w:bodyDiv w:val="1"/>
      <w:marLeft w:val="0"/>
      <w:marRight w:val="0"/>
      <w:marTop w:val="0"/>
      <w:marBottom w:val="0"/>
      <w:divBdr>
        <w:top w:val="none" w:sz="0" w:space="0" w:color="auto"/>
        <w:left w:val="none" w:sz="0" w:space="0" w:color="auto"/>
        <w:bottom w:val="none" w:sz="0" w:space="0" w:color="auto"/>
        <w:right w:val="none" w:sz="0" w:space="0" w:color="auto"/>
      </w:divBdr>
    </w:div>
    <w:div w:id="1865899692">
      <w:bodyDiv w:val="1"/>
      <w:marLeft w:val="0"/>
      <w:marRight w:val="0"/>
      <w:marTop w:val="0"/>
      <w:marBottom w:val="0"/>
      <w:divBdr>
        <w:top w:val="none" w:sz="0" w:space="0" w:color="auto"/>
        <w:left w:val="none" w:sz="0" w:space="0" w:color="auto"/>
        <w:bottom w:val="none" w:sz="0" w:space="0" w:color="auto"/>
        <w:right w:val="none" w:sz="0" w:space="0" w:color="auto"/>
      </w:divBdr>
    </w:div>
    <w:div w:id="1954824923">
      <w:bodyDiv w:val="1"/>
      <w:marLeft w:val="0"/>
      <w:marRight w:val="0"/>
      <w:marTop w:val="0"/>
      <w:marBottom w:val="0"/>
      <w:divBdr>
        <w:top w:val="none" w:sz="0" w:space="0" w:color="auto"/>
        <w:left w:val="none" w:sz="0" w:space="0" w:color="auto"/>
        <w:bottom w:val="none" w:sz="0" w:space="0" w:color="auto"/>
        <w:right w:val="none" w:sz="0" w:space="0" w:color="auto"/>
      </w:divBdr>
      <w:divsChild>
        <w:div w:id="921068533">
          <w:marLeft w:val="0"/>
          <w:marRight w:val="0"/>
          <w:marTop w:val="0"/>
          <w:marBottom w:val="0"/>
          <w:divBdr>
            <w:top w:val="none" w:sz="0" w:space="0" w:color="auto"/>
            <w:left w:val="none" w:sz="0" w:space="0" w:color="auto"/>
            <w:bottom w:val="none" w:sz="0" w:space="0" w:color="auto"/>
            <w:right w:val="none" w:sz="0" w:space="0" w:color="auto"/>
          </w:divBdr>
        </w:div>
        <w:div w:id="1294796512">
          <w:marLeft w:val="0"/>
          <w:marRight w:val="0"/>
          <w:marTop w:val="0"/>
          <w:marBottom w:val="0"/>
          <w:divBdr>
            <w:top w:val="none" w:sz="0" w:space="0" w:color="auto"/>
            <w:left w:val="none" w:sz="0" w:space="0" w:color="auto"/>
            <w:bottom w:val="none" w:sz="0" w:space="0" w:color="auto"/>
            <w:right w:val="none" w:sz="0" w:space="0" w:color="auto"/>
          </w:divBdr>
        </w:div>
        <w:div w:id="1083843553">
          <w:marLeft w:val="0"/>
          <w:marRight w:val="0"/>
          <w:marTop w:val="0"/>
          <w:marBottom w:val="0"/>
          <w:divBdr>
            <w:top w:val="none" w:sz="0" w:space="0" w:color="auto"/>
            <w:left w:val="none" w:sz="0" w:space="0" w:color="auto"/>
            <w:bottom w:val="none" w:sz="0" w:space="0" w:color="auto"/>
            <w:right w:val="none" w:sz="0" w:space="0" w:color="auto"/>
          </w:divBdr>
        </w:div>
        <w:div w:id="2014795192">
          <w:marLeft w:val="0"/>
          <w:marRight w:val="0"/>
          <w:marTop w:val="0"/>
          <w:marBottom w:val="0"/>
          <w:divBdr>
            <w:top w:val="none" w:sz="0" w:space="0" w:color="auto"/>
            <w:left w:val="none" w:sz="0" w:space="0" w:color="auto"/>
            <w:bottom w:val="none" w:sz="0" w:space="0" w:color="auto"/>
            <w:right w:val="none" w:sz="0" w:space="0" w:color="auto"/>
          </w:divBdr>
        </w:div>
        <w:div w:id="522747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d-alliance.org/about-rda/governance/rda-council/rda-council-subcommitt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77122-78A4-4D1A-8E10-AE7109B29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4796</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RDA Europe Task Force on Sustainability</vt: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RDA Europe Task Force on Sustainability</dc:title>
  <dc:subject>Sustainability</dc:subject>
  <dc:creator>Fotis Karayannis</dc:creator>
  <cp:keywords>RDA;RDA Europe;Task Force;sustainability</cp:keywords>
  <cp:lastModifiedBy>Fotis Karayannis</cp:lastModifiedBy>
  <cp:revision>2</cp:revision>
  <cp:lastPrinted>2017-02-13T07:30:00Z</cp:lastPrinted>
  <dcterms:created xsi:type="dcterms:W3CDTF">2017-06-26T21:49:00Z</dcterms:created>
  <dcterms:modified xsi:type="dcterms:W3CDTF">2017-06-26T21:49:00Z</dcterms:modified>
</cp:coreProperties>
</file>