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5B5E7" w14:textId="6C5A760E" w:rsidR="00D8444A" w:rsidRPr="00F24953" w:rsidRDefault="00F24953">
      <w:pPr>
        <w:rPr>
          <w:i/>
          <w:iCs/>
        </w:rPr>
      </w:pPr>
      <w:r w:rsidRPr="00F24953">
        <w:rPr>
          <w:i/>
          <w:iCs/>
        </w:rPr>
        <w:t>This is a</w:t>
      </w:r>
      <w:r>
        <w:rPr>
          <w:i/>
          <w:iCs/>
        </w:rPr>
        <w:t>n internal</w:t>
      </w:r>
      <w:r w:rsidRPr="00F24953">
        <w:rPr>
          <w:i/>
          <w:iCs/>
        </w:rPr>
        <w:t xml:space="preserve"> document generated by Hilary Hanahoe, RDA Secretary General</w:t>
      </w:r>
      <w:r>
        <w:rPr>
          <w:i/>
          <w:iCs/>
        </w:rPr>
        <w:t xml:space="preserve"> (Feb 2020)</w:t>
      </w:r>
      <w:r w:rsidRPr="00F24953">
        <w:rPr>
          <w:i/>
          <w:iCs/>
        </w:rPr>
        <w:t xml:space="preserve">, as a proposal to Council to consider the creation of Communities of Practice within the RDA framework. It comes as a result pf a discussion with IGAD (Interest Group on Agricultural Data) as well as the request </w:t>
      </w:r>
      <w:bookmarkStart w:id="0" w:name="_GoBack"/>
      <w:r w:rsidRPr="00F24953">
        <w:rPr>
          <w:i/>
          <w:iCs/>
        </w:rPr>
        <w:t>from European Commission to support the engagement of underrepresented scientific disciplines and domains both in RDA and EOSC (European Open Science Cloud)</w:t>
      </w:r>
      <w:r w:rsidR="00EB2119">
        <w:rPr>
          <w:i/>
          <w:iCs/>
        </w:rPr>
        <w:t>.</w:t>
      </w:r>
      <w:bookmarkEnd w:id="0"/>
    </w:p>
    <w:p w14:paraId="35F11C2F" w14:textId="7DD30C44" w:rsidR="005D7CFB" w:rsidRDefault="005D7CFB"/>
    <w:p w14:paraId="6F91F160" w14:textId="51FFA01E" w:rsidR="005D7CFB" w:rsidRDefault="005D7CFB" w:rsidP="005D7CFB">
      <w:pPr>
        <w:pStyle w:val="Heading2"/>
      </w:pPr>
      <w:bookmarkStart w:id="1" w:name="_Toc519585169"/>
      <w:r>
        <w:t xml:space="preserve">RDA </w:t>
      </w:r>
      <w:bookmarkEnd w:id="1"/>
      <w:r>
        <w:t>Communities of Practice</w:t>
      </w:r>
    </w:p>
    <w:tbl>
      <w:tblPr>
        <w:tblW w:w="9451" w:type="dxa"/>
        <w:tblInd w:w="72" w:type="dxa"/>
        <w:tblLayout w:type="fixed"/>
        <w:tblLook w:val="0000" w:firstRow="0" w:lastRow="0" w:firstColumn="0" w:lastColumn="0" w:noHBand="0" w:noVBand="0"/>
      </w:tblPr>
      <w:tblGrid>
        <w:gridCol w:w="1670"/>
        <w:gridCol w:w="7781"/>
      </w:tblGrid>
      <w:tr w:rsidR="005D7CFB" w14:paraId="3A7C012E" w14:textId="77777777" w:rsidTr="0000615A">
        <w:trPr>
          <w:trHeight w:val="1760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CE5F399" w14:textId="77777777" w:rsidR="005D7CFB" w:rsidRDefault="005D7CFB" w:rsidP="0000615A">
            <w:pPr>
              <w:spacing w:before="10"/>
            </w:pPr>
            <w:r>
              <w:rPr>
                <w:b/>
              </w:rPr>
              <w:t>Function</w:t>
            </w:r>
          </w:p>
        </w:tc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0C038D6" w14:textId="13BBB5C7" w:rsidR="005D7CFB" w:rsidRDefault="005D7CFB" w:rsidP="005D7CFB">
            <w:pPr>
              <w:spacing w:after="0"/>
            </w:pPr>
            <w:r>
              <w:t>Communities of Practice</w:t>
            </w:r>
            <w:r>
              <w:t xml:space="preserve"> (</w:t>
            </w:r>
            <w:r>
              <w:t>CoP</w:t>
            </w:r>
            <w:r>
              <w:t xml:space="preserve">s) form to </w:t>
            </w:r>
            <w:r>
              <w:t>represent discipline or domain specific communities under RDA as well as to i</w:t>
            </w:r>
            <w:r>
              <w:t>nvestigate</w:t>
            </w:r>
            <w:r w:rsidR="00AF6E2E">
              <w:t xml:space="preserve">, </w:t>
            </w:r>
            <w:r>
              <w:t xml:space="preserve">discuss </w:t>
            </w:r>
            <w:commentRangeStart w:id="2"/>
            <w:r w:rsidR="00AF6E2E">
              <w:t>and provide knowledge and skills</w:t>
            </w:r>
            <w:commentRangeEnd w:id="2"/>
            <w:r w:rsidR="00AF6E2E">
              <w:rPr>
                <w:rStyle w:val="CommentReference"/>
              </w:rPr>
              <w:commentReference w:id="2"/>
            </w:r>
            <w:r w:rsidR="00AF6E2E">
              <w:t xml:space="preserve"> on </w:t>
            </w:r>
            <w:r>
              <w:t xml:space="preserve">any </w:t>
            </w:r>
            <w:r>
              <w:t xml:space="preserve">specific discipline and/or domain </w:t>
            </w:r>
            <w:r>
              <w:t xml:space="preserve">issues relevant to the </w:t>
            </w:r>
            <w:r>
              <w:t xml:space="preserve">community and </w:t>
            </w:r>
            <w:r>
              <w:t xml:space="preserve">RDA. </w:t>
            </w:r>
            <w:r>
              <w:t>Communities of Practice</w:t>
            </w:r>
            <w:r>
              <w:t xml:space="preserve"> are comprised of experts from the community that are committed to directly or indirectly enabling data sharing, exchange, or interoperability. </w:t>
            </w:r>
            <w:r>
              <w:t>Communities of Practice</w:t>
            </w:r>
            <w:r>
              <w:t xml:space="preserve"> serve as a platform for communication and coordination among individuals, outside and within RDA, with shared interests. </w:t>
            </w:r>
            <w:r w:rsidR="00AF6E2E">
              <w:rPr>
                <w:highlight w:val="yellow"/>
              </w:rPr>
              <w:t>Communities of Practice</w:t>
            </w:r>
            <w:r w:rsidRPr="005D7CFB">
              <w:rPr>
                <w:highlight w:val="yellow"/>
              </w:rPr>
              <w:t xml:space="preserve"> cannot produce Recommendations but can produce other kinds of outputs. They produce deliverables such as surveys, recommendations, reports, and Working Group Case Statements.</w:t>
            </w:r>
            <w:r w:rsidR="00AF6E2E">
              <w:t xml:space="preserve"> An Interest Group can progress to </w:t>
            </w:r>
            <w:r w:rsidR="00AF6E2E">
              <w:t>Communities of Practice</w:t>
            </w:r>
            <w:r w:rsidR="00AF6E2E">
              <w:t xml:space="preserve"> status based on the following criteria:</w:t>
            </w:r>
          </w:p>
          <w:p w14:paraId="71E3188C" w14:textId="2FDFEBB0" w:rsidR="00AF6E2E" w:rsidRDefault="00AF6E2E" w:rsidP="00AF6E2E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Representation of the main discipline / domain stakeholders (recognised institutions, associations, etc.)</w:t>
            </w:r>
          </w:p>
          <w:p w14:paraId="13F396D8" w14:textId="77777777" w:rsidR="00AF6E2E" w:rsidRDefault="00645654" w:rsidP="00AF6E2E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Critical mass of group membership (100+)</w:t>
            </w:r>
          </w:p>
          <w:p w14:paraId="0BBC1767" w14:textId="77777777" w:rsidR="00645654" w:rsidRDefault="00645654" w:rsidP="00AF6E2E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International membership (at least 10 countries)</w:t>
            </w:r>
          </w:p>
          <w:p w14:paraId="2D01731A" w14:textId="77777777" w:rsidR="00645654" w:rsidRDefault="00645654" w:rsidP="00AF6E2E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Letters of support evidencing the value of CoP</w:t>
            </w:r>
          </w:p>
          <w:p w14:paraId="2CBF1B03" w14:textId="1F9B92A8" w:rsidR="00884432" w:rsidRDefault="00884432" w:rsidP="00AF6E2E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At least 1 working group created and recommendation endorsed</w:t>
            </w:r>
          </w:p>
        </w:tc>
      </w:tr>
      <w:tr w:rsidR="005D7CFB" w14:paraId="0429DEDD" w14:textId="77777777" w:rsidTr="0000615A">
        <w:trPr>
          <w:trHeight w:val="500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246194D" w14:textId="77777777" w:rsidR="005D7CFB" w:rsidRDefault="005D7CFB" w:rsidP="0000615A">
            <w:pPr>
              <w:spacing w:before="10"/>
            </w:pPr>
            <w:r>
              <w:rPr>
                <w:b/>
              </w:rPr>
              <w:t>Membership</w:t>
            </w:r>
          </w:p>
        </w:tc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64585C7" w14:textId="3ACAD469" w:rsidR="005D7CFB" w:rsidRDefault="005D7CFB" w:rsidP="0000615A">
            <w:pPr>
              <w:spacing w:after="0"/>
            </w:pPr>
            <w:r>
              <w:t>Communities of Practice are open to participation from all RDA members. Members should be international experts, and ideally the group should span at least 3 continents.</w:t>
            </w:r>
          </w:p>
        </w:tc>
      </w:tr>
      <w:tr w:rsidR="005D7CFB" w14:paraId="3F592B59" w14:textId="77777777" w:rsidTr="0000615A">
        <w:trPr>
          <w:trHeight w:val="800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5578745" w14:textId="77777777" w:rsidR="005D7CFB" w:rsidRDefault="005D7CFB" w:rsidP="0000615A">
            <w:pPr>
              <w:spacing w:before="10"/>
            </w:pPr>
            <w:r>
              <w:rPr>
                <w:b/>
              </w:rPr>
              <w:t>Creation</w:t>
            </w:r>
          </w:p>
        </w:tc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9ED4ABE" w14:textId="4EEF49D6" w:rsidR="005D7CFB" w:rsidRDefault="005D7CFB" w:rsidP="0000615A">
            <w:pPr>
              <w:spacing w:after="0"/>
            </w:pPr>
            <w:r>
              <w:t xml:space="preserve">A </w:t>
            </w:r>
            <w:r>
              <w:t xml:space="preserve">Communities of Practice is established once the </w:t>
            </w:r>
            <w:commentRangeStart w:id="3"/>
            <w:r w:rsidRPr="005D7CFB">
              <w:rPr>
                <w:highlight w:val="yellow"/>
              </w:rPr>
              <w:t>CoP Agreement</w:t>
            </w:r>
            <w:r>
              <w:t xml:space="preserve"> </w:t>
            </w:r>
            <w:commentRangeEnd w:id="3"/>
            <w:r w:rsidR="00716437">
              <w:rPr>
                <w:rStyle w:val="CommentReference"/>
              </w:rPr>
              <w:commentReference w:id="3"/>
            </w:r>
            <w:r>
              <w:t xml:space="preserve">has been endorsed by Council. Each </w:t>
            </w:r>
            <w:r w:rsidR="00716437">
              <w:t>Community of practice</w:t>
            </w:r>
            <w:r>
              <w:t xml:space="preserve"> has two or more Chairs who serve as the point of contact for the </w:t>
            </w:r>
            <w:proofErr w:type="spellStart"/>
            <w:r w:rsidR="00716437">
              <w:t>CoP</w:t>
            </w:r>
            <w:r>
              <w:t>.</w:t>
            </w:r>
            <w:proofErr w:type="spellEnd"/>
          </w:p>
        </w:tc>
      </w:tr>
      <w:tr w:rsidR="005D7CFB" w14:paraId="0F83222B" w14:textId="77777777" w:rsidTr="0000615A">
        <w:trPr>
          <w:trHeight w:val="280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AE0C461" w14:textId="77777777" w:rsidR="005D7CFB" w:rsidRDefault="005D7CFB" w:rsidP="0000615A">
            <w:pPr>
              <w:spacing w:before="10"/>
            </w:pPr>
            <w:r>
              <w:rPr>
                <w:b/>
              </w:rPr>
              <w:t>Duration</w:t>
            </w:r>
          </w:p>
        </w:tc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BDAAF47" w14:textId="4B1402A1" w:rsidR="005D7CFB" w:rsidRDefault="00884432" w:rsidP="0000615A">
            <w:pPr>
              <w:spacing w:after="0"/>
            </w:pPr>
            <w:r>
              <w:t>There is no fixed duration for a</w:t>
            </w:r>
            <w:r w:rsidR="00716437">
              <w:t xml:space="preserve"> </w:t>
            </w:r>
            <w:r w:rsidR="00716437">
              <w:t>Communit</w:t>
            </w:r>
            <w:r w:rsidR="00716437">
              <w:t>y</w:t>
            </w:r>
            <w:r w:rsidR="00716437">
              <w:t xml:space="preserve"> of Practice</w:t>
            </w:r>
            <w:r>
              <w:t xml:space="preserve">. Each CoP will be subject to review on an </w:t>
            </w:r>
            <w:proofErr w:type="gramStart"/>
            <w:r>
              <w:t>18 month</w:t>
            </w:r>
            <w:proofErr w:type="gramEnd"/>
            <w:r>
              <w:t xml:space="preserve"> basis.</w:t>
            </w:r>
          </w:p>
        </w:tc>
      </w:tr>
      <w:tr w:rsidR="005D7CFB" w14:paraId="4848D81A" w14:textId="77777777" w:rsidTr="0000615A">
        <w:trPr>
          <w:trHeight w:val="280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4C28A56" w14:textId="77777777" w:rsidR="005D7CFB" w:rsidRDefault="005D7CFB" w:rsidP="0000615A">
            <w:pPr>
              <w:spacing w:before="10"/>
              <w:rPr>
                <w:b/>
              </w:rPr>
            </w:pPr>
            <w:r>
              <w:rPr>
                <w:b/>
              </w:rPr>
              <w:t>Termination</w:t>
            </w:r>
          </w:p>
        </w:tc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641E05B" w14:textId="07CAE34D" w:rsidR="005D7CFB" w:rsidRDefault="00716437" w:rsidP="0000615A">
            <w:pPr>
              <w:spacing w:after="0"/>
            </w:pPr>
            <w:r>
              <w:t xml:space="preserve">Communities of Practice </w:t>
            </w:r>
            <w:r w:rsidR="005D7CFB">
              <w:t xml:space="preserve">are disbanded on request or when, in the opinion of Council and after seeking advice from TAB, they are deemed to be inactive. </w:t>
            </w:r>
          </w:p>
        </w:tc>
      </w:tr>
      <w:tr w:rsidR="005D7CFB" w14:paraId="6C3B58DA" w14:textId="77777777" w:rsidTr="0000615A">
        <w:trPr>
          <w:trHeight w:val="1080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D973D81" w14:textId="77777777" w:rsidR="005D7CFB" w:rsidRDefault="005D7CFB" w:rsidP="0000615A">
            <w:pPr>
              <w:spacing w:before="10"/>
            </w:pPr>
            <w:r>
              <w:rPr>
                <w:b/>
              </w:rPr>
              <w:t>Rights</w:t>
            </w:r>
          </w:p>
        </w:tc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E1F5276" w14:textId="0C6A2EF0" w:rsidR="005D7CFB" w:rsidRDefault="00716437" w:rsidP="005D7CFB">
            <w:pPr>
              <w:pStyle w:val="ListParagraph"/>
              <w:numPr>
                <w:ilvl w:val="0"/>
                <w:numId w:val="1"/>
              </w:numPr>
              <w:tabs>
                <w:tab w:val="left" w:pos="440"/>
              </w:tabs>
              <w:spacing w:after="0"/>
            </w:pPr>
            <w:r>
              <w:t xml:space="preserve">Communities of Practice </w:t>
            </w:r>
            <w:r w:rsidR="005D7CFB">
              <w:t>have access to appropriate administrative and communications support from the RDA Secretariat.</w:t>
            </w:r>
          </w:p>
          <w:p w14:paraId="32AB2F1E" w14:textId="52086400" w:rsidR="005D7CFB" w:rsidRDefault="00716437" w:rsidP="005D7CFB">
            <w:pPr>
              <w:pStyle w:val="ListParagraph"/>
              <w:numPr>
                <w:ilvl w:val="0"/>
                <w:numId w:val="1"/>
              </w:numPr>
              <w:tabs>
                <w:tab w:val="left" w:pos="440"/>
              </w:tabs>
              <w:spacing w:after="0"/>
            </w:pPr>
            <w:r>
              <w:t xml:space="preserve">Communities of Practice </w:t>
            </w:r>
            <w:r w:rsidR="005D7CFB">
              <w:t>efforts are supported by technical expertise and guidance from the Technical Advisory Board and Organisational Assembly.</w:t>
            </w:r>
          </w:p>
        </w:tc>
      </w:tr>
      <w:tr w:rsidR="005D7CFB" w14:paraId="7F2FA584" w14:textId="77777777" w:rsidTr="0000615A">
        <w:trPr>
          <w:trHeight w:val="625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BCCA3EC" w14:textId="77777777" w:rsidR="005D7CFB" w:rsidRDefault="005D7CFB" w:rsidP="0000615A">
            <w:pPr>
              <w:spacing w:before="10"/>
            </w:pPr>
            <w:r>
              <w:rPr>
                <w:b/>
              </w:rPr>
              <w:t>Responsibilities</w:t>
            </w:r>
          </w:p>
        </w:tc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4B970F9" w14:textId="044EEC0C" w:rsidR="005D7CFB" w:rsidRDefault="00716437" w:rsidP="005D7CFB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 xml:space="preserve">Communities of Practice </w:t>
            </w:r>
            <w:r w:rsidR="005D7CFB">
              <w:t xml:space="preserve">are responsible for </w:t>
            </w:r>
            <w:r>
              <w:t xml:space="preserve">coordinating, progressing and updating </w:t>
            </w:r>
            <w:r w:rsidR="005D7CFB">
              <w:t xml:space="preserve">the activities described in their </w:t>
            </w:r>
            <w:r>
              <w:t>Agreement</w:t>
            </w:r>
            <w:r w:rsidR="005D7CFB">
              <w:t>.</w:t>
            </w:r>
          </w:p>
          <w:p w14:paraId="492FCAEF" w14:textId="4EF76400" w:rsidR="005D7CFB" w:rsidRDefault="00716437" w:rsidP="005D7CFB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 xml:space="preserve">Communities of Practice </w:t>
            </w:r>
            <w:r w:rsidR="005D7CFB">
              <w:t>are expected to participate in Plenaries on a regular basis.</w:t>
            </w:r>
          </w:p>
          <w:p w14:paraId="498921CB" w14:textId="1B8EFB35" w:rsidR="005D7CFB" w:rsidRDefault="00716437" w:rsidP="005D7CFB">
            <w:pPr>
              <w:pStyle w:val="ListParagraph"/>
              <w:numPr>
                <w:ilvl w:val="0"/>
                <w:numId w:val="2"/>
              </w:numPr>
              <w:tabs>
                <w:tab w:val="left" w:pos="440"/>
              </w:tabs>
              <w:spacing w:after="0"/>
            </w:pPr>
            <w:r>
              <w:t xml:space="preserve">Communities of Practice </w:t>
            </w:r>
            <w:r w:rsidR="005D7CFB">
              <w:t>are encouraged to conduct open discussions on the RDA online platform during the course of their work.</w:t>
            </w:r>
          </w:p>
          <w:p w14:paraId="2CE242F6" w14:textId="7A3EF6D8" w:rsidR="005D7CFB" w:rsidRDefault="00716437" w:rsidP="005D7CFB">
            <w:pPr>
              <w:pStyle w:val="ListParagraph"/>
              <w:numPr>
                <w:ilvl w:val="0"/>
                <w:numId w:val="2"/>
              </w:numPr>
              <w:tabs>
                <w:tab w:val="left" w:pos="440"/>
              </w:tabs>
              <w:spacing w:after="0"/>
            </w:pPr>
            <w:r>
              <w:t xml:space="preserve">Communities of Practice </w:t>
            </w:r>
            <w:r w:rsidR="005D7CFB">
              <w:t>are responsible for upholding the RDA Guiding Principles, including achievement of progress via consensus.</w:t>
            </w:r>
          </w:p>
        </w:tc>
      </w:tr>
    </w:tbl>
    <w:p w14:paraId="248A7AB3" w14:textId="1BBE1675" w:rsidR="005D7CFB" w:rsidRDefault="005D7CFB"/>
    <w:p w14:paraId="667038EE" w14:textId="78CF5D40" w:rsidR="0012647F" w:rsidRDefault="0012647F">
      <w:pPr>
        <w:spacing w:after="160" w:line="259" w:lineRule="auto"/>
        <w:jc w:val="left"/>
      </w:pPr>
      <w:r>
        <w:lastRenderedPageBreak/>
        <w:br w:type="page"/>
      </w:r>
    </w:p>
    <w:p w14:paraId="46396326" w14:textId="7B5CF056" w:rsidR="0012647F" w:rsidRPr="0012647F" w:rsidRDefault="0012647F">
      <w:pPr>
        <w:spacing w:after="160" w:line="259" w:lineRule="auto"/>
        <w:jc w:val="left"/>
        <w:rPr>
          <w:b/>
          <w:bCs/>
        </w:rPr>
      </w:pPr>
      <w:r>
        <w:rPr>
          <w:b/>
          <w:bCs/>
        </w:rPr>
        <w:lastRenderedPageBreak/>
        <w:t xml:space="preserve">Comparison of </w:t>
      </w:r>
      <w:r w:rsidRPr="0012647F">
        <w:rPr>
          <w:b/>
          <w:bCs/>
        </w:rPr>
        <w:t>Communities of Practice in the context of other RDA groups</w:t>
      </w:r>
    </w:p>
    <w:p w14:paraId="118CAFE4" w14:textId="77777777" w:rsidR="0012647F" w:rsidRDefault="0012647F">
      <w:pPr>
        <w:spacing w:after="160" w:line="259" w:lineRule="auto"/>
        <w:jc w:val="lef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76"/>
        <w:gridCol w:w="1390"/>
        <w:gridCol w:w="1390"/>
        <w:gridCol w:w="1570"/>
        <w:gridCol w:w="1390"/>
      </w:tblGrid>
      <w:tr w:rsidR="0012647F" w:rsidRPr="0012647F" w14:paraId="3EFB4DC8" w14:textId="77777777" w:rsidTr="0012647F">
        <w:trPr>
          <w:trHeight w:val="732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1268" w14:textId="77777777" w:rsidR="0012647F" w:rsidRPr="0012647F" w:rsidRDefault="0012647F" w:rsidP="0012647F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val="en-150" w:eastAsia="en-150"/>
              </w:rPr>
            </w:pPr>
            <w:r w:rsidRPr="0012647F">
              <w:rPr>
                <w:rFonts w:eastAsia="Times New Roman"/>
                <w:color w:val="000000"/>
                <w:sz w:val="28"/>
                <w:szCs w:val="28"/>
                <w:lang w:val="en-150" w:eastAsia="en-150"/>
              </w:rPr>
              <w:t> 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F188" w14:textId="77777777" w:rsidR="0012647F" w:rsidRPr="0012647F" w:rsidRDefault="0012647F" w:rsidP="0012647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en-150" w:eastAsia="en-150"/>
              </w:rPr>
            </w:pPr>
            <w:r w:rsidRPr="0012647F">
              <w:rPr>
                <w:rFonts w:eastAsia="Times New Roman"/>
                <w:b/>
                <w:bCs/>
                <w:color w:val="000000"/>
                <w:sz w:val="28"/>
                <w:szCs w:val="28"/>
                <w:lang w:val="en-150" w:eastAsia="en-150"/>
              </w:rPr>
              <w:t>Birds of a Feather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B3E7" w14:textId="77777777" w:rsidR="0012647F" w:rsidRPr="0012647F" w:rsidRDefault="0012647F" w:rsidP="0012647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en-150" w:eastAsia="en-150"/>
              </w:rPr>
            </w:pPr>
            <w:r w:rsidRPr="0012647F">
              <w:rPr>
                <w:rFonts w:eastAsia="Times New Roman"/>
                <w:b/>
                <w:bCs/>
                <w:color w:val="000000"/>
                <w:sz w:val="28"/>
                <w:szCs w:val="28"/>
                <w:lang w:val="en-150" w:eastAsia="en-150"/>
              </w:rPr>
              <w:t>Interest Group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7DAC" w14:textId="77777777" w:rsidR="0012647F" w:rsidRPr="0012647F" w:rsidRDefault="0012647F" w:rsidP="0012647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en-150" w:eastAsia="en-150"/>
              </w:rPr>
            </w:pPr>
            <w:r w:rsidRPr="0012647F">
              <w:rPr>
                <w:rFonts w:eastAsia="Times New Roman"/>
                <w:b/>
                <w:bCs/>
                <w:color w:val="000000"/>
                <w:sz w:val="28"/>
                <w:szCs w:val="28"/>
                <w:lang w:val="en-150" w:eastAsia="en-150"/>
              </w:rPr>
              <w:t>Community of Practice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FC07" w14:textId="77777777" w:rsidR="0012647F" w:rsidRPr="0012647F" w:rsidRDefault="0012647F" w:rsidP="0012647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en-150" w:eastAsia="en-150"/>
              </w:rPr>
            </w:pPr>
            <w:r w:rsidRPr="0012647F">
              <w:rPr>
                <w:rFonts w:eastAsia="Times New Roman"/>
                <w:b/>
                <w:bCs/>
                <w:color w:val="000000"/>
                <w:sz w:val="28"/>
                <w:szCs w:val="28"/>
                <w:lang w:val="en-150" w:eastAsia="en-150"/>
              </w:rPr>
              <w:t>Working Group</w:t>
            </w:r>
          </w:p>
        </w:tc>
      </w:tr>
      <w:tr w:rsidR="0012647F" w:rsidRPr="0012647F" w14:paraId="3C734387" w14:textId="77777777" w:rsidTr="0012647F">
        <w:trPr>
          <w:trHeight w:val="366"/>
        </w:trPr>
        <w:tc>
          <w:tcPr>
            <w:tcW w:w="1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3BA73" w14:textId="77777777" w:rsidR="0012647F" w:rsidRPr="0012647F" w:rsidRDefault="0012647F" w:rsidP="0012647F">
            <w:pPr>
              <w:spacing w:after="0"/>
              <w:jc w:val="left"/>
              <w:rPr>
                <w:rFonts w:eastAsia="Times New Roman"/>
                <w:i/>
                <w:iCs/>
                <w:color w:val="000000"/>
                <w:sz w:val="28"/>
                <w:szCs w:val="28"/>
                <w:lang w:val="en-150" w:eastAsia="en-150"/>
              </w:rPr>
            </w:pPr>
            <w:r w:rsidRPr="0012647F">
              <w:rPr>
                <w:rFonts w:eastAsia="Times New Roman"/>
                <w:i/>
                <w:iCs/>
                <w:color w:val="000000"/>
                <w:sz w:val="28"/>
                <w:szCs w:val="28"/>
                <w:lang w:val="en-150" w:eastAsia="en-150"/>
              </w:rPr>
              <w:t>Endorsed by Council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4B494" w14:textId="77777777" w:rsidR="0012647F" w:rsidRPr="0012647F" w:rsidRDefault="0012647F" w:rsidP="0012647F">
            <w:pPr>
              <w:spacing w:after="0"/>
              <w:jc w:val="left"/>
              <w:rPr>
                <w:rFonts w:eastAsia="Times New Roman"/>
                <w:b/>
                <w:bCs/>
                <w:color w:val="FF0000"/>
                <w:sz w:val="28"/>
                <w:szCs w:val="28"/>
                <w:lang w:val="en-150" w:eastAsia="en-150"/>
              </w:rPr>
            </w:pPr>
            <w:r w:rsidRPr="0012647F">
              <w:rPr>
                <w:rFonts w:eastAsia="Times New Roman"/>
                <w:b/>
                <w:bCs/>
                <w:color w:val="FF0000"/>
                <w:sz w:val="28"/>
                <w:szCs w:val="28"/>
                <w:lang w:val="en-150" w:eastAsia="en-150"/>
              </w:rPr>
              <w:t>No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073B2" w14:textId="77777777" w:rsidR="0012647F" w:rsidRPr="0012647F" w:rsidRDefault="0012647F" w:rsidP="0012647F">
            <w:pPr>
              <w:spacing w:after="0"/>
              <w:jc w:val="left"/>
              <w:rPr>
                <w:rFonts w:eastAsia="Times New Roman"/>
                <w:b/>
                <w:bCs/>
                <w:color w:val="00B050"/>
                <w:sz w:val="28"/>
                <w:szCs w:val="28"/>
                <w:lang w:val="en-150" w:eastAsia="en-150"/>
              </w:rPr>
            </w:pPr>
            <w:r w:rsidRPr="0012647F">
              <w:rPr>
                <w:rFonts w:eastAsia="Times New Roman"/>
                <w:b/>
                <w:bCs/>
                <w:color w:val="00B050"/>
                <w:sz w:val="28"/>
                <w:szCs w:val="28"/>
                <w:lang w:val="en-150" w:eastAsia="en-150"/>
              </w:rPr>
              <w:t>Yes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35D04" w14:textId="77777777" w:rsidR="0012647F" w:rsidRPr="0012647F" w:rsidRDefault="0012647F" w:rsidP="0012647F">
            <w:pPr>
              <w:spacing w:after="0"/>
              <w:jc w:val="left"/>
              <w:rPr>
                <w:rFonts w:eastAsia="Times New Roman"/>
                <w:b/>
                <w:bCs/>
                <w:color w:val="00B050"/>
                <w:sz w:val="28"/>
                <w:szCs w:val="28"/>
                <w:lang w:val="en-150" w:eastAsia="en-150"/>
              </w:rPr>
            </w:pPr>
            <w:r w:rsidRPr="0012647F">
              <w:rPr>
                <w:rFonts w:eastAsia="Times New Roman"/>
                <w:b/>
                <w:bCs/>
                <w:color w:val="00B050"/>
                <w:sz w:val="28"/>
                <w:szCs w:val="28"/>
                <w:lang w:val="en-150" w:eastAsia="en-150"/>
              </w:rPr>
              <w:t>Yes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424C5" w14:textId="77777777" w:rsidR="0012647F" w:rsidRPr="0012647F" w:rsidRDefault="0012647F" w:rsidP="0012647F">
            <w:pPr>
              <w:spacing w:after="0"/>
              <w:jc w:val="left"/>
              <w:rPr>
                <w:rFonts w:eastAsia="Times New Roman"/>
                <w:b/>
                <w:bCs/>
                <w:color w:val="00B050"/>
                <w:sz w:val="28"/>
                <w:szCs w:val="28"/>
                <w:lang w:val="en-150" w:eastAsia="en-150"/>
              </w:rPr>
            </w:pPr>
            <w:r w:rsidRPr="0012647F">
              <w:rPr>
                <w:rFonts w:eastAsia="Times New Roman"/>
                <w:b/>
                <w:bCs/>
                <w:color w:val="00B050"/>
                <w:sz w:val="28"/>
                <w:szCs w:val="28"/>
                <w:lang w:val="en-150" w:eastAsia="en-150"/>
              </w:rPr>
              <w:t>Yes</w:t>
            </w:r>
          </w:p>
        </w:tc>
      </w:tr>
      <w:tr w:rsidR="0012647F" w:rsidRPr="0012647F" w14:paraId="7D1A2AB3" w14:textId="77777777" w:rsidTr="0012647F">
        <w:trPr>
          <w:trHeight w:val="732"/>
        </w:trPr>
        <w:tc>
          <w:tcPr>
            <w:tcW w:w="1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26118" w14:textId="77777777" w:rsidR="0012647F" w:rsidRPr="0012647F" w:rsidRDefault="0012647F" w:rsidP="0012647F">
            <w:pPr>
              <w:spacing w:after="0"/>
              <w:jc w:val="left"/>
              <w:rPr>
                <w:rFonts w:eastAsia="Times New Roman"/>
                <w:i/>
                <w:iCs/>
                <w:color w:val="000000"/>
                <w:sz w:val="28"/>
                <w:szCs w:val="28"/>
                <w:lang w:val="en-150" w:eastAsia="en-150"/>
              </w:rPr>
            </w:pPr>
            <w:r w:rsidRPr="0012647F">
              <w:rPr>
                <w:rFonts w:eastAsia="Times New Roman"/>
                <w:i/>
                <w:iCs/>
                <w:color w:val="000000"/>
                <w:sz w:val="28"/>
                <w:szCs w:val="28"/>
                <w:lang w:val="en-150" w:eastAsia="en-150"/>
              </w:rPr>
              <w:t>Charter / Case Statement / Agreement Open for Comment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3A165" w14:textId="77777777" w:rsidR="0012647F" w:rsidRPr="0012647F" w:rsidRDefault="0012647F" w:rsidP="0012647F">
            <w:pPr>
              <w:spacing w:after="0"/>
              <w:jc w:val="left"/>
              <w:rPr>
                <w:rFonts w:eastAsia="Times New Roman"/>
                <w:b/>
                <w:bCs/>
                <w:color w:val="FF0000"/>
                <w:sz w:val="28"/>
                <w:szCs w:val="28"/>
                <w:lang w:val="en-150" w:eastAsia="en-150"/>
              </w:rPr>
            </w:pPr>
            <w:r w:rsidRPr="0012647F">
              <w:rPr>
                <w:rFonts w:eastAsia="Times New Roman"/>
                <w:b/>
                <w:bCs/>
                <w:color w:val="FF0000"/>
                <w:sz w:val="28"/>
                <w:szCs w:val="28"/>
                <w:lang w:val="en-150" w:eastAsia="en-150"/>
              </w:rPr>
              <w:t>No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38B0F" w14:textId="77777777" w:rsidR="0012647F" w:rsidRPr="0012647F" w:rsidRDefault="0012647F" w:rsidP="0012647F">
            <w:pPr>
              <w:spacing w:after="0"/>
              <w:jc w:val="left"/>
              <w:rPr>
                <w:rFonts w:eastAsia="Times New Roman"/>
                <w:b/>
                <w:bCs/>
                <w:color w:val="00B050"/>
                <w:sz w:val="28"/>
                <w:szCs w:val="28"/>
                <w:lang w:val="en-150" w:eastAsia="en-150"/>
              </w:rPr>
            </w:pPr>
            <w:r w:rsidRPr="0012647F">
              <w:rPr>
                <w:rFonts w:eastAsia="Times New Roman"/>
                <w:b/>
                <w:bCs/>
                <w:color w:val="00B050"/>
                <w:sz w:val="28"/>
                <w:szCs w:val="28"/>
                <w:lang w:val="en-150" w:eastAsia="en-150"/>
              </w:rPr>
              <w:t>Yes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AC9D1" w14:textId="77777777" w:rsidR="0012647F" w:rsidRPr="0012647F" w:rsidRDefault="0012647F" w:rsidP="0012647F">
            <w:pPr>
              <w:spacing w:after="0"/>
              <w:jc w:val="left"/>
              <w:rPr>
                <w:rFonts w:eastAsia="Times New Roman"/>
                <w:b/>
                <w:bCs/>
                <w:color w:val="00B050"/>
                <w:sz w:val="28"/>
                <w:szCs w:val="28"/>
                <w:lang w:val="en-150" w:eastAsia="en-150"/>
              </w:rPr>
            </w:pPr>
            <w:r w:rsidRPr="0012647F">
              <w:rPr>
                <w:rFonts w:eastAsia="Times New Roman"/>
                <w:b/>
                <w:bCs/>
                <w:color w:val="00B050"/>
                <w:sz w:val="28"/>
                <w:szCs w:val="28"/>
                <w:lang w:val="en-150" w:eastAsia="en-150"/>
              </w:rPr>
              <w:t>Yes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D2B12" w14:textId="77777777" w:rsidR="0012647F" w:rsidRPr="0012647F" w:rsidRDefault="0012647F" w:rsidP="0012647F">
            <w:pPr>
              <w:spacing w:after="0"/>
              <w:jc w:val="left"/>
              <w:rPr>
                <w:rFonts w:eastAsia="Times New Roman"/>
                <w:b/>
                <w:bCs/>
                <w:color w:val="00B050"/>
                <w:sz w:val="28"/>
                <w:szCs w:val="28"/>
                <w:lang w:val="en-150" w:eastAsia="en-150"/>
              </w:rPr>
            </w:pPr>
            <w:r w:rsidRPr="0012647F">
              <w:rPr>
                <w:rFonts w:eastAsia="Times New Roman"/>
                <w:b/>
                <w:bCs/>
                <w:color w:val="00B050"/>
                <w:sz w:val="28"/>
                <w:szCs w:val="28"/>
                <w:lang w:val="en-150" w:eastAsia="en-150"/>
              </w:rPr>
              <w:t>Yes</w:t>
            </w:r>
          </w:p>
        </w:tc>
      </w:tr>
      <w:tr w:rsidR="0012647F" w:rsidRPr="0012647F" w14:paraId="32377AE7" w14:textId="77777777" w:rsidTr="0012647F">
        <w:trPr>
          <w:trHeight w:val="366"/>
        </w:trPr>
        <w:tc>
          <w:tcPr>
            <w:tcW w:w="1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51B12" w14:textId="77777777" w:rsidR="0012647F" w:rsidRPr="0012647F" w:rsidRDefault="0012647F" w:rsidP="0012647F">
            <w:pPr>
              <w:spacing w:after="0"/>
              <w:jc w:val="left"/>
              <w:rPr>
                <w:rFonts w:eastAsia="Times New Roman"/>
                <w:i/>
                <w:iCs/>
                <w:color w:val="000000"/>
                <w:sz w:val="28"/>
                <w:szCs w:val="28"/>
                <w:lang w:val="en-150" w:eastAsia="en-150"/>
              </w:rPr>
            </w:pPr>
            <w:r w:rsidRPr="0012647F">
              <w:rPr>
                <w:rFonts w:eastAsia="Times New Roman"/>
                <w:i/>
                <w:iCs/>
                <w:color w:val="000000"/>
                <w:sz w:val="28"/>
                <w:szCs w:val="28"/>
                <w:lang w:val="en-150" w:eastAsia="en-150"/>
              </w:rPr>
              <w:t>Ambassadors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C8018" w14:textId="77777777" w:rsidR="0012647F" w:rsidRPr="0012647F" w:rsidRDefault="0012647F" w:rsidP="0012647F">
            <w:pPr>
              <w:spacing w:after="0"/>
              <w:jc w:val="left"/>
              <w:rPr>
                <w:rFonts w:eastAsia="Times New Roman"/>
                <w:b/>
                <w:bCs/>
                <w:color w:val="FF0000"/>
                <w:sz w:val="28"/>
                <w:szCs w:val="28"/>
                <w:lang w:val="en-150" w:eastAsia="en-150"/>
              </w:rPr>
            </w:pPr>
            <w:r w:rsidRPr="0012647F">
              <w:rPr>
                <w:rFonts w:eastAsia="Times New Roman"/>
                <w:b/>
                <w:bCs/>
                <w:color w:val="FF0000"/>
                <w:sz w:val="28"/>
                <w:szCs w:val="28"/>
                <w:lang w:val="en-150" w:eastAsia="en-150"/>
              </w:rPr>
              <w:t>No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AEA9D" w14:textId="77777777" w:rsidR="0012647F" w:rsidRPr="0012647F" w:rsidRDefault="0012647F" w:rsidP="0012647F">
            <w:pPr>
              <w:spacing w:after="0"/>
              <w:jc w:val="left"/>
              <w:rPr>
                <w:rFonts w:eastAsia="Times New Roman"/>
                <w:b/>
                <w:bCs/>
                <w:color w:val="FF0000"/>
                <w:sz w:val="28"/>
                <w:szCs w:val="28"/>
                <w:lang w:val="en-150" w:eastAsia="en-150"/>
              </w:rPr>
            </w:pPr>
            <w:r w:rsidRPr="0012647F">
              <w:rPr>
                <w:rFonts w:eastAsia="Times New Roman"/>
                <w:b/>
                <w:bCs/>
                <w:color w:val="FF0000"/>
                <w:sz w:val="28"/>
                <w:szCs w:val="28"/>
                <w:lang w:val="en-150" w:eastAsia="en-150"/>
              </w:rPr>
              <w:t>No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77755" w14:textId="77777777" w:rsidR="0012647F" w:rsidRPr="0012647F" w:rsidRDefault="0012647F" w:rsidP="0012647F">
            <w:pPr>
              <w:spacing w:after="0"/>
              <w:jc w:val="left"/>
              <w:rPr>
                <w:rFonts w:eastAsia="Times New Roman"/>
                <w:b/>
                <w:bCs/>
                <w:color w:val="00B050"/>
                <w:sz w:val="28"/>
                <w:szCs w:val="28"/>
                <w:lang w:val="en-150" w:eastAsia="en-150"/>
              </w:rPr>
            </w:pPr>
            <w:r w:rsidRPr="0012647F">
              <w:rPr>
                <w:rFonts w:eastAsia="Times New Roman"/>
                <w:b/>
                <w:bCs/>
                <w:color w:val="00B050"/>
                <w:sz w:val="28"/>
                <w:szCs w:val="28"/>
                <w:lang w:val="en-150" w:eastAsia="en-150"/>
              </w:rPr>
              <w:t>Yes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9B9BD" w14:textId="77777777" w:rsidR="0012647F" w:rsidRPr="0012647F" w:rsidRDefault="0012647F" w:rsidP="0012647F">
            <w:pPr>
              <w:spacing w:after="0"/>
              <w:jc w:val="left"/>
              <w:rPr>
                <w:rFonts w:eastAsia="Times New Roman"/>
                <w:b/>
                <w:bCs/>
                <w:color w:val="FF0000"/>
                <w:sz w:val="28"/>
                <w:szCs w:val="28"/>
                <w:lang w:val="en-150" w:eastAsia="en-150"/>
              </w:rPr>
            </w:pPr>
            <w:r w:rsidRPr="0012647F">
              <w:rPr>
                <w:rFonts w:eastAsia="Times New Roman"/>
                <w:b/>
                <w:bCs/>
                <w:color w:val="FF0000"/>
                <w:sz w:val="28"/>
                <w:szCs w:val="28"/>
                <w:lang w:val="en-150" w:eastAsia="en-150"/>
              </w:rPr>
              <w:t>No</w:t>
            </w:r>
          </w:p>
        </w:tc>
      </w:tr>
      <w:tr w:rsidR="0012647F" w:rsidRPr="0012647F" w14:paraId="24B46C00" w14:textId="77777777" w:rsidTr="0012647F">
        <w:trPr>
          <w:trHeight w:val="366"/>
        </w:trPr>
        <w:tc>
          <w:tcPr>
            <w:tcW w:w="1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2B155" w14:textId="77777777" w:rsidR="0012647F" w:rsidRPr="0012647F" w:rsidRDefault="0012647F" w:rsidP="0012647F">
            <w:pPr>
              <w:spacing w:after="0"/>
              <w:jc w:val="left"/>
              <w:rPr>
                <w:rFonts w:eastAsia="Times New Roman"/>
                <w:i/>
                <w:iCs/>
                <w:color w:val="000000"/>
                <w:sz w:val="28"/>
                <w:szCs w:val="28"/>
                <w:lang w:val="en-150" w:eastAsia="en-150"/>
              </w:rPr>
            </w:pPr>
            <w:r w:rsidRPr="0012647F">
              <w:rPr>
                <w:rFonts w:eastAsia="Times New Roman"/>
                <w:i/>
                <w:iCs/>
                <w:color w:val="000000"/>
                <w:sz w:val="28"/>
                <w:szCs w:val="28"/>
                <w:lang w:val="en-150" w:eastAsia="en-150"/>
              </w:rPr>
              <w:t>Co-Chairs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9D34E" w14:textId="77777777" w:rsidR="0012647F" w:rsidRPr="0012647F" w:rsidRDefault="0012647F" w:rsidP="0012647F">
            <w:pPr>
              <w:spacing w:after="0"/>
              <w:jc w:val="left"/>
              <w:rPr>
                <w:rFonts w:eastAsia="Times New Roman"/>
                <w:b/>
                <w:bCs/>
                <w:color w:val="FF0000"/>
                <w:sz w:val="28"/>
                <w:szCs w:val="28"/>
                <w:lang w:val="en-150" w:eastAsia="en-150"/>
              </w:rPr>
            </w:pPr>
            <w:r w:rsidRPr="0012647F">
              <w:rPr>
                <w:rFonts w:eastAsia="Times New Roman"/>
                <w:b/>
                <w:bCs/>
                <w:color w:val="FF0000"/>
                <w:sz w:val="28"/>
                <w:szCs w:val="28"/>
                <w:lang w:val="en-150" w:eastAsia="en-150"/>
              </w:rPr>
              <w:t>No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C57D6" w14:textId="77777777" w:rsidR="0012647F" w:rsidRPr="0012647F" w:rsidRDefault="0012647F" w:rsidP="0012647F">
            <w:pPr>
              <w:spacing w:after="0"/>
              <w:jc w:val="left"/>
              <w:rPr>
                <w:rFonts w:eastAsia="Times New Roman"/>
                <w:b/>
                <w:bCs/>
                <w:color w:val="00B050"/>
                <w:sz w:val="28"/>
                <w:szCs w:val="28"/>
                <w:lang w:val="en-150" w:eastAsia="en-150"/>
              </w:rPr>
            </w:pPr>
            <w:r w:rsidRPr="0012647F">
              <w:rPr>
                <w:rFonts w:eastAsia="Times New Roman"/>
                <w:b/>
                <w:bCs/>
                <w:color w:val="00B050"/>
                <w:sz w:val="28"/>
                <w:szCs w:val="28"/>
                <w:lang w:val="en-150" w:eastAsia="en-150"/>
              </w:rPr>
              <w:t>Yes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29A5D" w14:textId="77777777" w:rsidR="0012647F" w:rsidRPr="0012647F" w:rsidRDefault="0012647F" w:rsidP="0012647F">
            <w:pPr>
              <w:spacing w:after="0"/>
              <w:jc w:val="left"/>
              <w:rPr>
                <w:rFonts w:eastAsia="Times New Roman"/>
                <w:b/>
                <w:bCs/>
                <w:color w:val="00B050"/>
                <w:sz w:val="28"/>
                <w:szCs w:val="28"/>
                <w:lang w:val="en-150" w:eastAsia="en-150"/>
              </w:rPr>
            </w:pPr>
            <w:r w:rsidRPr="0012647F">
              <w:rPr>
                <w:rFonts w:eastAsia="Times New Roman"/>
                <w:b/>
                <w:bCs/>
                <w:color w:val="00B050"/>
                <w:sz w:val="28"/>
                <w:szCs w:val="28"/>
                <w:lang w:val="en-150" w:eastAsia="en-150"/>
              </w:rPr>
              <w:t>Yes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8B1A9" w14:textId="77777777" w:rsidR="0012647F" w:rsidRPr="0012647F" w:rsidRDefault="0012647F" w:rsidP="0012647F">
            <w:pPr>
              <w:spacing w:after="0"/>
              <w:jc w:val="left"/>
              <w:rPr>
                <w:rFonts w:eastAsia="Times New Roman"/>
                <w:b/>
                <w:bCs/>
                <w:color w:val="00B050"/>
                <w:sz w:val="28"/>
                <w:szCs w:val="28"/>
                <w:lang w:val="en-150" w:eastAsia="en-150"/>
              </w:rPr>
            </w:pPr>
            <w:r w:rsidRPr="0012647F">
              <w:rPr>
                <w:rFonts w:eastAsia="Times New Roman"/>
                <w:b/>
                <w:bCs/>
                <w:color w:val="00B050"/>
                <w:sz w:val="28"/>
                <w:szCs w:val="28"/>
                <w:lang w:val="en-150" w:eastAsia="en-150"/>
              </w:rPr>
              <w:t>Yes</w:t>
            </w:r>
          </w:p>
        </w:tc>
      </w:tr>
      <w:tr w:rsidR="0012647F" w:rsidRPr="0012647F" w14:paraId="3915EE8A" w14:textId="77777777" w:rsidTr="0012647F">
        <w:trPr>
          <w:trHeight w:val="366"/>
        </w:trPr>
        <w:tc>
          <w:tcPr>
            <w:tcW w:w="1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FFA0B" w14:textId="77777777" w:rsidR="0012647F" w:rsidRPr="0012647F" w:rsidRDefault="0012647F" w:rsidP="0012647F">
            <w:pPr>
              <w:spacing w:after="0"/>
              <w:jc w:val="left"/>
              <w:rPr>
                <w:rFonts w:eastAsia="Times New Roman"/>
                <w:i/>
                <w:iCs/>
                <w:color w:val="000000"/>
                <w:sz w:val="28"/>
                <w:szCs w:val="28"/>
                <w:lang w:val="en-150" w:eastAsia="en-150"/>
              </w:rPr>
            </w:pPr>
            <w:r w:rsidRPr="0012647F">
              <w:rPr>
                <w:rFonts w:eastAsia="Times New Roman"/>
                <w:i/>
                <w:iCs/>
                <w:color w:val="000000"/>
                <w:sz w:val="28"/>
                <w:szCs w:val="28"/>
                <w:lang w:val="en-150" w:eastAsia="en-150"/>
              </w:rPr>
              <w:t>Mandatory Plenary Meeting Presence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83AC1" w14:textId="77777777" w:rsidR="0012647F" w:rsidRPr="0012647F" w:rsidRDefault="0012647F" w:rsidP="0012647F">
            <w:pPr>
              <w:spacing w:after="0"/>
              <w:jc w:val="left"/>
              <w:rPr>
                <w:rFonts w:eastAsia="Times New Roman"/>
                <w:b/>
                <w:bCs/>
                <w:color w:val="00B050"/>
                <w:sz w:val="28"/>
                <w:szCs w:val="28"/>
                <w:lang w:val="en-150" w:eastAsia="en-150"/>
              </w:rPr>
            </w:pPr>
            <w:r w:rsidRPr="0012647F">
              <w:rPr>
                <w:rFonts w:eastAsia="Times New Roman"/>
                <w:b/>
                <w:bCs/>
                <w:color w:val="00B050"/>
                <w:sz w:val="28"/>
                <w:szCs w:val="28"/>
                <w:lang w:val="en-150" w:eastAsia="en-150"/>
              </w:rPr>
              <w:t>Yes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2F840" w14:textId="77777777" w:rsidR="0012647F" w:rsidRPr="0012647F" w:rsidRDefault="0012647F" w:rsidP="0012647F">
            <w:pPr>
              <w:spacing w:after="0"/>
              <w:jc w:val="left"/>
              <w:rPr>
                <w:rFonts w:eastAsia="Times New Roman"/>
                <w:b/>
                <w:bCs/>
                <w:color w:val="00B050"/>
                <w:sz w:val="28"/>
                <w:szCs w:val="28"/>
                <w:lang w:val="en-150" w:eastAsia="en-150"/>
              </w:rPr>
            </w:pPr>
            <w:r w:rsidRPr="0012647F">
              <w:rPr>
                <w:rFonts w:eastAsia="Times New Roman"/>
                <w:b/>
                <w:bCs/>
                <w:color w:val="00B050"/>
                <w:sz w:val="28"/>
                <w:szCs w:val="28"/>
                <w:lang w:val="en-150" w:eastAsia="en-150"/>
              </w:rPr>
              <w:t>Yes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A65B9" w14:textId="77777777" w:rsidR="0012647F" w:rsidRPr="0012647F" w:rsidRDefault="0012647F" w:rsidP="0012647F">
            <w:pPr>
              <w:spacing w:after="0"/>
              <w:jc w:val="left"/>
              <w:rPr>
                <w:rFonts w:eastAsia="Times New Roman"/>
                <w:b/>
                <w:bCs/>
                <w:color w:val="FF0000"/>
                <w:sz w:val="28"/>
                <w:szCs w:val="28"/>
                <w:lang w:val="en-150" w:eastAsia="en-150"/>
              </w:rPr>
            </w:pPr>
            <w:r w:rsidRPr="0012647F">
              <w:rPr>
                <w:rFonts w:eastAsia="Times New Roman"/>
                <w:b/>
                <w:bCs/>
                <w:color w:val="FF0000"/>
                <w:sz w:val="28"/>
                <w:szCs w:val="28"/>
                <w:lang w:val="en-150" w:eastAsia="en-150"/>
              </w:rPr>
              <w:t>No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D4611" w14:textId="77777777" w:rsidR="0012647F" w:rsidRPr="0012647F" w:rsidRDefault="0012647F" w:rsidP="0012647F">
            <w:pPr>
              <w:spacing w:after="0"/>
              <w:jc w:val="left"/>
              <w:rPr>
                <w:rFonts w:eastAsia="Times New Roman"/>
                <w:b/>
                <w:bCs/>
                <w:color w:val="00B050"/>
                <w:sz w:val="28"/>
                <w:szCs w:val="28"/>
                <w:lang w:val="en-150" w:eastAsia="en-150"/>
              </w:rPr>
            </w:pPr>
            <w:r w:rsidRPr="0012647F">
              <w:rPr>
                <w:rFonts w:eastAsia="Times New Roman"/>
                <w:b/>
                <w:bCs/>
                <w:color w:val="00B050"/>
                <w:sz w:val="28"/>
                <w:szCs w:val="28"/>
                <w:lang w:val="en-150" w:eastAsia="en-150"/>
              </w:rPr>
              <w:t>Yes</w:t>
            </w:r>
          </w:p>
        </w:tc>
      </w:tr>
      <w:tr w:rsidR="0012647F" w:rsidRPr="0012647F" w14:paraId="4C69B5F6" w14:textId="77777777" w:rsidTr="0012647F">
        <w:trPr>
          <w:trHeight w:val="732"/>
        </w:trPr>
        <w:tc>
          <w:tcPr>
            <w:tcW w:w="1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D016C" w14:textId="77777777" w:rsidR="0012647F" w:rsidRPr="0012647F" w:rsidRDefault="0012647F" w:rsidP="0012647F">
            <w:pPr>
              <w:spacing w:after="0"/>
              <w:jc w:val="left"/>
              <w:rPr>
                <w:rFonts w:eastAsia="Times New Roman"/>
                <w:i/>
                <w:iCs/>
                <w:color w:val="000000"/>
                <w:sz w:val="28"/>
                <w:szCs w:val="28"/>
                <w:lang w:val="en-150" w:eastAsia="en-150"/>
              </w:rPr>
            </w:pPr>
            <w:r w:rsidRPr="0012647F">
              <w:rPr>
                <w:rFonts w:eastAsia="Times New Roman"/>
                <w:i/>
                <w:iCs/>
                <w:color w:val="000000"/>
                <w:sz w:val="28"/>
                <w:szCs w:val="28"/>
                <w:lang w:val="en-150" w:eastAsia="en-150"/>
              </w:rPr>
              <w:t>Recommendations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C452F" w14:textId="77777777" w:rsidR="0012647F" w:rsidRPr="0012647F" w:rsidRDefault="0012647F" w:rsidP="0012647F">
            <w:pPr>
              <w:spacing w:after="0"/>
              <w:jc w:val="left"/>
              <w:rPr>
                <w:rFonts w:eastAsia="Times New Roman"/>
                <w:b/>
                <w:bCs/>
                <w:color w:val="FF0000"/>
                <w:sz w:val="28"/>
                <w:szCs w:val="28"/>
                <w:lang w:val="en-150" w:eastAsia="en-150"/>
              </w:rPr>
            </w:pPr>
            <w:r w:rsidRPr="0012647F">
              <w:rPr>
                <w:rFonts w:eastAsia="Times New Roman"/>
                <w:b/>
                <w:bCs/>
                <w:color w:val="FF0000"/>
                <w:sz w:val="28"/>
                <w:szCs w:val="28"/>
                <w:lang w:val="en-150" w:eastAsia="en-150"/>
              </w:rPr>
              <w:t>No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6D159" w14:textId="77777777" w:rsidR="0012647F" w:rsidRPr="0012647F" w:rsidRDefault="0012647F" w:rsidP="0012647F">
            <w:pPr>
              <w:spacing w:after="0"/>
              <w:jc w:val="left"/>
              <w:rPr>
                <w:rFonts w:eastAsia="Times New Roman"/>
                <w:b/>
                <w:bCs/>
                <w:color w:val="FF0000"/>
                <w:sz w:val="28"/>
                <w:szCs w:val="28"/>
                <w:lang w:val="en-150" w:eastAsia="en-150"/>
              </w:rPr>
            </w:pPr>
            <w:r w:rsidRPr="0012647F">
              <w:rPr>
                <w:rFonts w:eastAsia="Times New Roman"/>
                <w:b/>
                <w:bCs/>
                <w:color w:val="FF0000"/>
                <w:sz w:val="28"/>
                <w:szCs w:val="28"/>
                <w:lang w:val="en-150" w:eastAsia="en-150"/>
              </w:rPr>
              <w:t>No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A22CB" w14:textId="77777777" w:rsidR="0012647F" w:rsidRPr="0012647F" w:rsidRDefault="0012647F" w:rsidP="0012647F">
            <w:pPr>
              <w:spacing w:after="0"/>
              <w:jc w:val="left"/>
              <w:rPr>
                <w:rFonts w:eastAsia="Times New Roman"/>
                <w:b/>
                <w:bCs/>
                <w:color w:val="00B050"/>
                <w:sz w:val="28"/>
                <w:szCs w:val="28"/>
                <w:lang w:val="en-150" w:eastAsia="en-150"/>
              </w:rPr>
            </w:pPr>
            <w:r w:rsidRPr="0012647F">
              <w:rPr>
                <w:rFonts w:eastAsia="Times New Roman"/>
                <w:b/>
                <w:bCs/>
                <w:color w:val="00B050"/>
                <w:sz w:val="28"/>
                <w:szCs w:val="28"/>
                <w:lang w:val="en-150" w:eastAsia="en-150"/>
              </w:rPr>
              <w:t>Yes (at least 1 from an initial WG)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5891C" w14:textId="77777777" w:rsidR="0012647F" w:rsidRPr="0012647F" w:rsidRDefault="0012647F" w:rsidP="0012647F">
            <w:pPr>
              <w:spacing w:after="0"/>
              <w:jc w:val="left"/>
              <w:rPr>
                <w:rFonts w:eastAsia="Times New Roman"/>
                <w:b/>
                <w:bCs/>
                <w:color w:val="00B050"/>
                <w:sz w:val="28"/>
                <w:szCs w:val="28"/>
                <w:lang w:val="en-150" w:eastAsia="en-150"/>
              </w:rPr>
            </w:pPr>
            <w:r w:rsidRPr="0012647F">
              <w:rPr>
                <w:rFonts w:eastAsia="Times New Roman"/>
                <w:b/>
                <w:bCs/>
                <w:color w:val="00B050"/>
                <w:sz w:val="28"/>
                <w:szCs w:val="28"/>
                <w:lang w:val="en-150" w:eastAsia="en-150"/>
              </w:rPr>
              <w:t>Yes</w:t>
            </w:r>
          </w:p>
        </w:tc>
      </w:tr>
      <w:tr w:rsidR="0012647F" w:rsidRPr="0012647F" w14:paraId="7C67A13C" w14:textId="77777777" w:rsidTr="0012647F">
        <w:trPr>
          <w:trHeight w:val="366"/>
        </w:trPr>
        <w:tc>
          <w:tcPr>
            <w:tcW w:w="1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68074" w14:textId="77777777" w:rsidR="0012647F" w:rsidRPr="0012647F" w:rsidRDefault="0012647F" w:rsidP="0012647F">
            <w:pPr>
              <w:spacing w:after="0"/>
              <w:jc w:val="left"/>
              <w:rPr>
                <w:rFonts w:eastAsia="Times New Roman"/>
                <w:i/>
                <w:iCs/>
                <w:color w:val="000000"/>
                <w:sz w:val="28"/>
                <w:szCs w:val="28"/>
                <w:lang w:val="en-150" w:eastAsia="en-150"/>
              </w:rPr>
            </w:pPr>
            <w:r w:rsidRPr="0012647F">
              <w:rPr>
                <w:rFonts w:eastAsia="Times New Roman"/>
                <w:i/>
                <w:iCs/>
                <w:color w:val="000000"/>
                <w:sz w:val="28"/>
                <w:szCs w:val="28"/>
                <w:lang w:val="en-150" w:eastAsia="en-150"/>
              </w:rPr>
              <w:t>Outputs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A9829" w14:textId="77777777" w:rsidR="0012647F" w:rsidRPr="0012647F" w:rsidRDefault="0012647F" w:rsidP="0012647F">
            <w:pPr>
              <w:spacing w:after="0"/>
              <w:jc w:val="left"/>
              <w:rPr>
                <w:rFonts w:eastAsia="Times New Roman"/>
                <w:b/>
                <w:bCs/>
                <w:color w:val="FF0000"/>
                <w:sz w:val="28"/>
                <w:szCs w:val="28"/>
                <w:lang w:val="en-150" w:eastAsia="en-150"/>
              </w:rPr>
            </w:pPr>
            <w:r w:rsidRPr="0012647F">
              <w:rPr>
                <w:rFonts w:eastAsia="Times New Roman"/>
                <w:b/>
                <w:bCs/>
                <w:color w:val="FF0000"/>
                <w:sz w:val="28"/>
                <w:szCs w:val="28"/>
                <w:lang w:val="en-150" w:eastAsia="en-150"/>
              </w:rPr>
              <w:t>No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C5BAC" w14:textId="77777777" w:rsidR="0012647F" w:rsidRPr="0012647F" w:rsidRDefault="0012647F" w:rsidP="0012647F">
            <w:pPr>
              <w:spacing w:after="0"/>
              <w:jc w:val="left"/>
              <w:rPr>
                <w:rFonts w:eastAsia="Times New Roman"/>
                <w:b/>
                <w:bCs/>
                <w:color w:val="00B050"/>
                <w:sz w:val="28"/>
                <w:szCs w:val="28"/>
                <w:lang w:val="en-150" w:eastAsia="en-150"/>
              </w:rPr>
            </w:pPr>
            <w:r w:rsidRPr="0012647F">
              <w:rPr>
                <w:rFonts w:eastAsia="Times New Roman"/>
                <w:b/>
                <w:bCs/>
                <w:color w:val="00B050"/>
                <w:sz w:val="28"/>
                <w:szCs w:val="28"/>
                <w:lang w:val="en-150" w:eastAsia="en-150"/>
              </w:rPr>
              <w:t>Yes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5BC37" w14:textId="77777777" w:rsidR="0012647F" w:rsidRPr="0012647F" w:rsidRDefault="0012647F" w:rsidP="0012647F">
            <w:pPr>
              <w:spacing w:after="0"/>
              <w:jc w:val="left"/>
              <w:rPr>
                <w:rFonts w:eastAsia="Times New Roman"/>
                <w:b/>
                <w:bCs/>
                <w:color w:val="00B050"/>
                <w:sz w:val="28"/>
                <w:szCs w:val="28"/>
                <w:lang w:val="en-150" w:eastAsia="en-150"/>
              </w:rPr>
            </w:pPr>
            <w:r w:rsidRPr="0012647F">
              <w:rPr>
                <w:rFonts w:eastAsia="Times New Roman"/>
                <w:b/>
                <w:bCs/>
                <w:color w:val="00B050"/>
                <w:sz w:val="28"/>
                <w:szCs w:val="28"/>
                <w:lang w:val="en-150" w:eastAsia="en-150"/>
              </w:rPr>
              <w:t>Yes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23E96" w14:textId="77777777" w:rsidR="0012647F" w:rsidRPr="0012647F" w:rsidRDefault="0012647F" w:rsidP="0012647F">
            <w:pPr>
              <w:spacing w:after="0"/>
              <w:jc w:val="left"/>
              <w:rPr>
                <w:rFonts w:eastAsia="Times New Roman"/>
                <w:b/>
                <w:bCs/>
                <w:color w:val="00B050"/>
                <w:sz w:val="28"/>
                <w:szCs w:val="28"/>
                <w:lang w:val="en-150" w:eastAsia="en-150"/>
              </w:rPr>
            </w:pPr>
            <w:r w:rsidRPr="0012647F">
              <w:rPr>
                <w:rFonts w:eastAsia="Times New Roman"/>
                <w:b/>
                <w:bCs/>
                <w:color w:val="00B050"/>
                <w:sz w:val="28"/>
                <w:szCs w:val="28"/>
                <w:lang w:val="en-150" w:eastAsia="en-150"/>
              </w:rPr>
              <w:t>Yes</w:t>
            </w:r>
          </w:p>
        </w:tc>
      </w:tr>
      <w:tr w:rsidR="0012647F" w:rsidRPr="0012647F" w14:paraId="03E8D20B" w14:textId="77777777" w:rsidTr="0012647F">
        <w:trPr>
          <w:trHeight w:val="366"/>
        </w:trPr>
        <w:tc>
          <w:tcPr>
            <w:tcW w:w="1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16319" w14:textId="77777777" w:rsidR="0012647F" w:rsidRPr="0012647F" w:rsidRDefault="0012647F" w:rsidP="0012647F">
            <w:pPr>
              <w:spacing w:after="0"/>
              <w:jc w:val="left"/>
              <w:rPr>
                <w:rFonts w:eastAsia="Times New Roman"/>
                <w:i/>
                <w:iCs/>
                <w:color w:val="000000"/>
                <w:sz w:val="28"/>
                <w:szCs w:val="28"/>
                <w:lang w:val="en-150" w:eastAsia="en-150"/>
              </w:rPr>
            </w:pPr>
            <w:r w:rsidRPr="0012647F">
              <w:rPr>
                <w:rFonts w:eastAsia="Times New Roman"/>
                <w:i/>
                <w:iCs/>
                <w:color w:val="000000"/>
                <w:sz w:val="28"/>
                <w:szCs w:val="28"/>
                <w:lang w:val="en-150" w:eastAsia="en-150"/>
              </w:rPr>
              <w:t>Discipline / Domain Specific Mandatory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389EE" w14:textId="77777777" w:rsidR="0012647F" w:rsidRPr="0012647F" w:rsidRDefault="0012647F" w:rsidP="0012647F">
            <w:pPr>
              <w:spacing w:after="0"/>
              <w:jc w:val="left"/>
              <w:rPr>
                <w:rFonts w:eastAsia="Times New Roman"/>
                <w:b/>
                <w:bCs/>
                <w:color w:val="FF0000"/>
                <w:sz w:val="28"/>
                <w:szCs w:val="28"/>
                <w:lang w:val="en-150" w:eastAsia="en-150"/>
              </w:rPr>
            </w:pPr>
            <w:r w:rsidRPr="0012647F">
              <w:rPr>
                <w:rFonts w:eastAsia="Times New Roman"/>
                <w:b/>
                <w:bCs/>
                <w:color w:val="FF0000"/>
                <w:sz w:val="28"/>
                <w:szCs w:val="28"/>
                <w:lang w:val="en-150" w:eastAsia="en-150"/>
              </w:rPr>
              <w:t>No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F2CC2" w14:textId="77777777" w:rsidR="0012647F" w:rsidRPr="0012647F" w:rsidRDefault="0012647F" w:rsidP="0012647F">
            <w:pPr>
              <w:spacing w:after="0"/>
              <w:jc w:val="left"/>
              <w:rPr>
                <w:rFonts w:eastAsia="Times New Roman"/>
                <w:b/>
                <w:bCs/>
                <w:color w:val="FF0000"/>
                <w:sz w:val="28"/>
                <w:szCs w:val="28"/>
                <w:lang w:val="en-150" w:eastAsia="en-150"/>
              </w:rPr>
            </w:pPr>
            <w:r w:rsidRPr="0012647F">
              <w:rPr>
                <w:rFonts w:eastAsia="Times New Roman"/>
                <w:b/>
                <w:bCs/>
                <w:color w:val="FF0000"/>
                <w:sz w:val="28"/>
                <w:szCs w:val="28"/>
                <w:lang w:val="en-150" w:eastAsia="en-150"/>
              </w:rPr>
              <w:t>No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4B1EC" w14:textId="77777777" w:rsidR="0012647F" w:rsidRPr="0012647F" w:rsidRDefault="0012647F" w:rsidP="0012647F">
            <w:pPr>
              <w:spacing w:after="0"/>
              <w:jc w:val="left"/>
              <w:rPr>
                <w:rFonts w:eastAsia="Times New Roman"/>
                <w:b/>
                <w:bCs/>
                <w:color w:val="00B050"/>
                <w:sz w:val="28"/>
                <w:szCs w:val="28"/>
                <w:lang w:val="en-150" w:eastAsia="en-150"/>
              </w:rPr>
            </w:pPr>
            <w:r w:rsidRPr="0012647F">
              <w:rPr>
                <w:rFonts w:eastAsia="Times New Roman"/>
                <w:b/>
                <w:bCs/>
                <w:color w:val="00B050"/>
                <w:sz w:val="28"/>
                <w:szCs w:val="28"/>
                <w:lang w:val="en-150" w:eastAsia="en-150"/>
              </w:rPr>
              <w:t>Yes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A695C" w14:textId="77777777" w:rsidR="0012647F" w:rsidRPr="0012647F" w:rsidRDefault="0012647F" w:rsidP="0012647F">
            <w:pPr>
              <w:spacing w:after="0"/>
              <w:jc w:val="left"/>
              <w:rPr>
                <w:rFonts w:eastAsia="Times New Roman"/>
                <w:b/>
                <w:bCs/>
                <w:color w:val="FF0000"/>
                <w:sz w:val="28"/>
                <w:szCs w:val="28"/>
                <w:lang w:val="en-150" w:eastAsia="en-150"/>
              </w:rPr>
            </w:pPr>
            <w:r w:rsidRPr="0012647F">
              <w:rPr>
                <w:rFonts w:eastAsia="Times New Roman"/>
                <w:b/>
                <w:bCs/>
                <w:color w:val="FF0000"/>
                <w:sz w:val="28"/>
                <w:szCs w:val="28"/>
                <w:lang w:val="en-150" w:eastAsia="en-150"/>
              </w:rPr>
              <w:t>No</w:t>
            </w:r>
          </w:p>
        </w:tc>
      </w:tr>
      <w:tr w:rsidR="0012647F" w:rsidRPr="0012647F" w14:paraId="38F4D97E" w14:textId="77777777" w:rsidTr="0012647F">
        <w:trPr>
          <w:trHeight w:val="732"/>
        </w:trPr>
        <w:tc>
          <w:tcPr>
            <w:tcW w:w="1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EA31A" w14:textId="77777777" w:rsidR="0012647F" w:rsidRPr="0012647F" w:rsidRDefault="0012647F" w:rsidP="0012647F">
            <w:pPr>
              <w:spacing w:after="0"/>
              <w:jc w:val="left"/>
              <w:rPr>
                <w:rFonts w:eastAsia="Times New Roman"/>
                <w:i/>
                <w:iCs/>
                <w:color w:val="000000"/>
                <w:sz w:val="28"/>
                <w:szCs w:val="28"/>
                <w:lang w:val="en-150" w:eastAsia="en-150"/>
              </w:rPr>
            </w:pPr>
            <w:r w:rsidRPr="0012647F">
              <w:rPr>
                <w:rFonts w:eastAsia="Times New Roman"/>
                <w:i/>
                <w:iCs/>
                <w:color w:val="000000"/>
                <w:sz w:val="28"/>
                <w:szCs w:val="28"/>
                <w:lang w:val="en-150" w:eastAsia="en-150"/>
              </w:rPr>
              <w:t>Limited Duration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3CB47" w14:textId="77777777" w:rsidR="0012647F" w:rsidRPr="0012647F" w:rsidRDefault="0012647F" w:rsidP="0012647F">
            <w:pPr>
              <w:spacing w:after="0"/>
              <w:jc w:val="left"/>
              <w:rPr>
                <w:rFonts w:eastAsia="Times New Roman"/>
                <w:b/>
                <w:bCs/>
                <w:color w:val="00B050"/>
                <w:sz w:val="28"/>
                <w:szCs w:val="28"/>
                <w:lang w:val="en-150" w:eastAsia="en-150"/>
              </w:rPr>
            </w:pPr>
            <w:r w:rsidRPr="0012647F">
              <w:rPr>
                <w:rFonts w:eastAsia="Times New Roman"/>
                <w:b/>
                <w:bCs/>
                <w:color w:val="00B050"/>
                <w:sz w:val="28"/>
                <w:szCs w:val="28"/>
                <w:lang w:val="en-150" w:eastAsia="en-150"/>
              </w:rPr>
              <w:t>Yes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A2A6D" w14:textId="77777777" w:rsidR="0012647F" w:rsidRPr="0012647F" w:rsidRDefault="0012647F" w:rsidP="0012647F">
            <w:pPr>
              <w:spacing w:after="0"/>
              <w:jc w:val="left"/>
              <w:rPr>
                <w:rFonts w:eastAsia="Times New Roman"/>
                <w:b/>
                <w:bCs/>
                <w:color w:val="FF0000"/>
                <w:sz w:val="28"/>
                <w:szCs w:val="28"/>
                <w:lang w:val="en-150" w:eastAsia="en-150"/>
              </w:rPr>
            </w:pPr>
            <w:r w:rsidRPr="0012647F">
              <w:rPr>
                <w:rFonts w:eastAsia="Times New Roman"/>
                <w:b/>
                <w:bCs/>
                <w:color w:val="FF0000"/>
                <w:sz w:val="28"/>
                <w:szCs w:val="28"/>
                <w:lang w:val="en-150" w:eastAsia="en-150"/>
              </w:rPr>
              <w:t>No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A63F4" w14:textId="77777777" w:rsidR="0012647F" w:rsidRPr="0012647F" w:rsidRDefault="0012647F" w:rsidP="0012647F">
            <w:pPr>
              <w:spacing w:after="0"/>
              <w:jc w:val="left"/>
              <w:rPr>
                <w:rFonts w:eastAsia="Times New Roman"/>
                <w:b/>
                <w:bCs/>
                <w:color w:val="FF0000"/>
                <w:sz w:val="28"/>
                <w:szCs w:val="28"/>
                <w:lang w:val="en-150" w:eastAsia="en-150"/>
              </w:rPr>
            </w:pPr>
            <w:r w:rsidRPr="0012647F">
              <w:rPr>
                <w:rFonts w:eastAsia="Times New Roman"/>
                <w:b/>
                <w:bCs/>
                <w:color w:val="FF0000"/>
                <w:sz w:val="28"/>
                <w:szCs w:val="28"/>
                <w:lang w:val="en-150" w:eastAsia="en-150"/>
              </w:rPr>
              <w:t>No but review every 18 months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93EA3" w14:textId="77777777" w:rsidR="0012647F" w:rsidRPr="0012647F" w:rsidRDefault="0012647F" w:rsidP="0012647F">
            <w:pPr>
              <w:spacing w:after="0"/>
              <w:jc w:val="left"/>
              <w:rPr>
                <w:rFonts w:eastAsia="Times New Roman"/>
                <w:b/>
                <w:bCs/>
                <w:color w:val="00B050"/>
                <w:sz w:val="28"/>
                <w:szCs w:val="28"/>
                <w:lang w:val="en-150" w:eastAsia="en-150"/>
              </w:rPr>
            </w:pPr>
            <w:r w:rsidRPr="0012647F">
              <w:rPr>
                <w:rFonts w:eastAsia="Times New Roman"/>
                <w:b/>
                <w:bCs/>
                <w:color w:val="00B050"/>
                <w:sz w:val="28"/>
                <w:szCs w:val="28"/>
                <w:lang w:val="en-150" w:eastAsia="en-150"/>
              </w:rPr>
              <w:t>Yes</w:t>
            </w:r>
          </w:p>
        </w:tc>
      </w:tr>
      <w:tr w:rsidR="0012647F" w:rsidRPr="0012647F" w14:paraId="6A7D0AE6" w14:textId="77777777" w:rsidTr="0012647F">
        <w:trPr>
          <w:trHeight w:val="1098"/>
        </w:trPr>
        <w:tc>
          <w:tcPr>
            <w:tcW w:w="1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88E5E" w14:textId="77777777" w:rsidR="0012647F" w:rsidRPr="0012647F" w:rsidRDefault="0012647F" w:rsidP="0012647F">
            <w:pPr>
              <w:spacing w:after="0"/>
              <w:jc w:val="left"/>
              <w:rPr>
                <w:rFonts w:eastAsia="Times New Roman"/>
                <w:i/>
                <w:iCs/>
                <w:color w:val="000000"/>
                <w:sz w:val="28"/>
                <w:szCs w:val="28"/>
                <w:lang w:val="en-150" w:eastAsia="en-150"/>
              </w:rPr>
            </w:pPr>
            <w:r w:rsidRPr="0012647F">
              <w:rPr>
                <w:rFonts w:eastAsia="Times New Roman"/>
                <w:i/>
                <w:iCs/>
                <w:color w:val="000000"/>
                <w:sz w:val="28"/>
                <w:szCs w:val="28"/>
                <w:lang w:val="en-150" w:eastAsia="en-150"/>
              </w:rPr>
              <w:t>International Membership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A6C97" w14:textId="77777777" w:rsidR="0012647F" w:rsidRPr="0012647F" w:rsidRDefault="0012647F" w:rsidP="0012647F">
            <w:pPr>
              <w:spacing w:after="0"/>
              <w:jc w:val="left"/>
              <w:rPr>
                <w:rFonts w:eastAsia="Times New Roman"/>
                <w:b/>
                <w:bCs/>
                <w:color w:val="00B050"/>
                <w:sz w:val="28"/>
                <w:szCs w:val="28"/>
                <w:lang w:val="en-150" w:eastAsia="en-150"/>
              </w:rPr>
            </w:pPr>
            <w:r w:rsidRPr="0012647F">
              <w:rPr>
                <w:rFonts w:eastAsia="Times New Roman"/>
                <w:b/>
                <w:bCs/>
                <w:color w:val="00B050"/>
                <w:sz w:val="28"/>
                <w:szCs w:val="28"/>
                <w:lang w:val="en-150" w:eastAsia="en-150"/>
              </w:rPr>
              <w:t>Yes (at least 3 countries)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4986C" w14:textId="77777777" w:rsidR="0012647F" w:rsidRPr="0012647F" w:rsidRDefault="0012647F" w:rsidP="0012647F">
            <w:pPr>
              <w:spacing w:after="0"/>
              <w:jc w:val="left"/>
              <w:rPr>
                <w:rFonts w:eastAsia="Times New Roman"/>
                <w:b/>
                <w:bCs/>
                <w:color w:val="00B050"/>
                <w:sz w:val="28"/>
                <w:szCs w:val="28"/>
                <w:lang w:val="en-150" w:eastAsia="en-150"/>
              </w:rPr>
            </w:pPr>
            <w:r w:rsidRPr="0012647F">
              <w:rPr>
                <w:rFonts w:eastAsia="Times New Roman"/>
                <w:b/>
                <w:bCs/>
                <w:color w:val="00B050"/>
                <w:sz w:val="28"/>
                <w:szCs w:val="28"/>
                <w:lang w:val="en-150" w:eastAsia="en-150"/>
              </w:rPr>
              <w:t>Yes (at least 3 countries)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85095" w14:textId="77777777" w:rsidR="0012647F" w:rsidRPr="0012647F" w:rsidRDefault="0012647F" w:rsidP="0012647F">
            <w:pPr>
              <w:spacing w:after="0"/>
              <w:jc w:val="left"/>
              <w:rPr>
                <w:rFonts w:eastAsia="Times New Roman"/>
                <w:b/>
                <w:bCs/>
                <w:color w:val="00B050"/>
                <w:sz w:val="28"/>
                <w:szCs w:val="28"/>
                <w:lang w:val="en-150" w:eastAsia="en-150"/>
              </w:rPr>
            </w:pPr>
            <w:r w:rsidRPr="0012647F">
              <w:rPr>
                <w:rFonts w:eastAsia="Times New Roman"/>
                <w:b/>
                <w:bCs/>
                <w:color w:val="00B050"/>
                <w:sz w:val="28"/>
                <w:szCs w:val="28"/>
                <w:lang w:val="en-150" w:eastAsia="en-150"/>
              </w:rPr>
              <w:t>Yes (at least 10 countries)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84CF4" w14:textId="77777777" w:rsidR="0012647F" w:rsidRPr="0012647F" w:rsidRDefault="0012647F" w:rsidP="0012647F">
            <w:pPr>
              <w:spacing w:after="0"/>
              <w:jc w:val="left"/>
              <w:rPr>
                <w:rFonts w:eastAsia="Times New Roman"/>
                <w:b/>
                <w:bCs/>
                <w:color w:val="00B050"/>
                <w:sz w:val="28"/>
                <w:szCs w:val="28"/>
                <w:lang w:val="en-150" w:eastAsia="en-150"/>
              </w:rPr>
            </w:pPr>
            <w:r w:rsidRPr="0012647F">
              <w:rPr>
                <w:rFonts w:eastAsia="Times New Roman"/>
                <w:b/>
                <w:bCs/>
                <w:color w:val="00B050"/>
                <w:sz w:val="28"/>
                <w:szCs w:val="28"/>
                <w:lang w:val="en-150" w:eastAsia="en-150"/>
              </w:rPr>
              <w:t>Yes (at least 3 countries)</w:t>
            </w:r>
          </w:p>
        </w:tc>
      </w:tr>
      <w:tr w:rsidR="0012647F" w:rsidRPr="0012647F" w14:paraId="6701A32F" w14:textId="77777777" w:rsidTr="0012647F">
        <w:trPr>
          <w:trHeight w:val="366"/>
        </w:trPr>
        <w:tc>
          <w:tcPr>
            <w:tcW w:w="1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806B9" w14:textId="77777777" w:rsidR="0012647F" w:rsidRPr="0012647F" w:rsidRDefault="0012647F" w:rsidP="0012647F">
            <w:pPr>
              <w:spacing w:after="0"/>
              <w:jc w:val="left"/>
              <w:rPr>
                <w:rFonts w:eastAsia="Times New Roman"/>
                <w:i/>
                <w:iCs/>
                <w:color w:val="000000"/>
                <w:sz w:val="28"/>
                <w:szCs w:val="28"/>
                <w:lang w:val="en-150" w:eastAsia="en-150"/>
              </w:rPr>
            </w:pPr>
            <w:r w:rsidRPr="0012647F">
              <w:rPr>
                <w:rFonts w:eastAsia="Times New Roman"/>
                <w:i/>
                <w:iCs/>
                <w:color w:val="000000"/>
                <w:sz w:val="28"/>
                <w:szCs w:val="28"/>
                <w:lang w:val="en-150" w:eastAsia="en-150"/>
              </w:rPr>
              <w:t>Critical Mass (at least 100+ members)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6D9FF" w14:textId="77777777" w:rsidR="0012647F" w:rsidRPr="0012647F" w:rsidRDefault="0012647F" w:rsidP="0012647F">
            <w:pPr>
              <w:spacing w:after="0"/>
              <w:jc w:val="left"/>
              <w:rPr>
                <w:rFonts w:eastAsia="Times New Roman"/>
                <w:b/>
                <w:bCs/>
                <w:color w:val="FF0000"/>
                <w:sz w:val="28"/>
                <w:szCs w:val="28"/>
                <w:lang w:val="en-150" w:eastAsia="en-150"/>
              </w:rPr>
            </w:pPr>
            <w:r w:rsidRPr="0012647F">
              <w:rPr>
                <w:rFonts w:eastAsia="Times New Roman"/>
                <w:b/>
                <w:bCs/>
                <w:color w:val="FF0000"/>
                <w:sz w:val="28"/>
                <w:szCs w:val="28"/>
                <w:lang w:val="en-150" w:eastAsia="en-150"/>
              </w:rPr>
              <w:t>No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5EFF6" w14:textId="77777777" w:rsidR="0012647F" w:rsidRPr="0012647F" w:rsidRDefault="0012647F" w:rsidP="0012647F">
            <w:pPr>
              <w:spacing w:after="0"/>
              <w:jc w:val="left"/>
              <w:rPr>
                <w:rFonts w:eastAsia="Times New Roman"/>
                <w:b/>
                <w:bCs/>
                <w:color w:val="FF0000"/>
                <w:sz w:val="28"/>
                <w:szCs w:val="28"/>
                <w:lang w:val="en-150" w:eastAsia="en-150"/>
              </w:rPr>
            </w:pPr>
            <w:r w:rsidRPr="0012647F">
              <w:rPr>
                <w:rFonts w:eastAsia="Times New Roman"/>
                <w:b/>
                <w:bCs/>
                <w:color w:val="FF0000"/>
                <w:sz w:val="28"/>
                <w:szCs w:val="28"/>
                <w:lang w:val="en-150" w:eastAsia="en-150"/>
              </w:rPr>
              <w:t>No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3B8E2" w14:textId="77777777" w:rsidR="0012647F" w:rsidRPr="0012647F" w:rsidRDefault="0012647F" w:rsidP="0012647F">
            <w:pPr>
              <w:spacing w:after="0"/>
              <w:jc w:val="left"/>
              <w:rPr>
                <w:rFonts w:eastAsia="Times New Roman"/>
                <w:b/>
                <w:bCs/>
                <w:color w:val="00B050"/>
                <w:sz w:val="28"/>
                <w:szCs w:val="28"/>
                <w:lang w:val="en-150" w:eastAsia="en-150"/>
              </w:rPr>
            </w:pPr>
            <w:r w:rsidRPr="0012647F">
              <w:rPr>
                <w:rFonts w:eastAsia="Times New Roman"/>
                <w:b/>
                <w:bCs/>
                <w:color w:val="00B050"/>
                <w:sz w:val="28"/>
                <w:szCs w:val="28"/>
                <w:lang w:val="en-150" w:eastAsia="en-150"/>
              </w:rPr>
              <w:t>Yes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8B482" w14:textId="77777777" w:rsidR="0012647F" w:rsidRPr="0012647F" w:rsidRDefault="0012647F" w:rsidP="0012647F">
            <w:pPr>
              <w:spacing w:after="0"/>
              <w:jc w:val="left"/>
              <w:rPr>
                <w:rFonts w:eastAsia="Times New Roman"/>
                <w:b/>
                <w:bCs/>
                <w:color w:val="FF0000"/>
                <w:sz w:val="28"/>
                <w:szCs w:val="28"/>
                <w:lang w:val="en-150" w:eastAsia="en-150"/>
              </w:rPr>
            </w:pPr>
            <w:r w:rsidRPr="0012647F">
              <w:rPr>
                <w:rFonts w:eastAsia="Times New Roman"/>
                <w:b/>
                <w:bCs/>
                <w:color w:val="FF0000"/>
                <w:sz w:val="28"/>
                <w:szCs w:val="28"/>
                <w:lang w:val="en-150" w:eastAsia="en-150"/>
              </w:rPr>
              <w:t>No</w:t>
            </w:r>
          </w:p>
        </w:tc>
      </w:tr>
      <w:tr w:rsidR="0012647F" w:rsidRPr="0012647F" w14:paraId="6F85BDCD" w14:textId="77777777" w:rsidTr="0012647F">
        <w:trPr>
          <w:trHeight w:val="366"/>
        </w:trPr>
        <w:tc>
          <w:tcPr>
            <w:tcW w:w="1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E389C" w14:textId="77777777" w:rsidR="0012647F" w:rsidRPr="0012647F" w:rsidRDefault="0012647F" w:rsidP="0012647F">
            <w:pPr>
              <w:spacing w:after="0"/>
              <w:jc w:val="left"/>
              <w:rPr>
                <w:rFonts w:eastAsia="Times New Roman"/>
                <w:i/>
                <w:iCs/>
                <w:color w:val="000000"/>
                <w:sz w:val="28"/>
                <w:szCs w:val="28"/>
                <w:lang w:val="en-150" w:eastAsia="en-150"/>
              </w:rPr>
            </w:pPr>
            <w:r w:rsidRPr="0012647F">
              <w:rPr>
                <w:rFonts w:eastAsia="Times New Roman"/>
                <w:i/>
                <w:iCs/>
                <w:color w:val="000000"/>
                <w:sz w:val="28"/>
                <w:szCs w:val="28"/>
                <w:lang w:val="en-150" w:eastAsia="en-150"/>
              </w:rPr>
              <w:t>Letters of Support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EA026" w14:textId="77777777" w:rsidR="0012647F" w:rsidRPr="0012647F" w:rsidRDefault="0012647F" w:rsidP="0012647F">
            <w:pPr>
              <w:spacing w:after="0"/>
              <w:jc w:val="left"/>
              <w:rPr>
                <w:rFonts w:eastAsia="Times New Roman"/>
                <w:b/>
                <w:bCs/>
                <w:color w:val="FF0000"/>
                <w:sz w:val="28"/>
                <w:szCs w:val="28"/>
                <w:lang w:val="en-150" w:eastAsia="en-150"/>
              </w:rPr>
            </w:pPr>
            <w:r w:rsidRPr="0012647F">
              <w:rPr>
                <w:rFonts w:eastAsia="Times New Roman"/>
                <w:b/>
                <w:bCs/>
                <w:color w:val="FF0000"/>
                <w:sz w:val="28"/>
                <w:szCs w:val="28"/>
                <w:lang w:val="en-150" w:eastAsia="en-150"/>
              </w:rPr>
              <w:t>No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2A5B9" w14:textId="77777777" w:rsidR="0012647F" w:rsidRPr="0012647F" w:rsidRDefault="0012647F" w:rsidP="0012647F">
            <w:pPr>
              <w:spacing w:after="0"/>
              <w:jc w:val="left"/>
              <w:rPr>
                <w:rFonts w:eastAsia="Times New Roman"/>
                <w:b/>
                <w:bCs/>
                <w:color w:val="FF0000"/>
                <w:sz w:val="28"/>
                <w:szCs w:val="28"/>
                <w:lang w:val="en-150" w:eastAsia="en-150"/>
              </w:rPr>
            </w:pPr>
            <w:r w:rsidRPr="0012647F">
              <w:rPr>
                <w:rFonts w:eastAsia="Times New Roman"/>
                <w:b/>
                <w:bCs/>
                <w:color w:val="FF0000"/>
                <w:sz w:val="28"/>
                <w:szCs w:val="28"/>
                <w:lang w:val="en-150" w:eastAsia="en-150"/>
              </w:rPr>
              <w:t>No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C94D5" w14:textId="77777777" w:rsidR="0012647F" w:rsidRPr="0012647F" w:rsidRDefault="0012647F" w:rsidP="0012647F">
            <w:pPr>
              <w:spacing w:after="0"/>
              <w:jc w:val="left"/>
              <w:rPr>
                <w:rFonts w:eastAsia="Times New Roman"/>
                <w:b/>
                <w:bCs/>
                <w:color w:val="00B050"/>
                <w:sz w:val="28"/>
                <w:szCs w:val="28"/>
                <w:lang w:val="en-150" w:eastAsia="en-150"/>
              </w:rPr>
            </w:pPr>
            <w:r w:rsidRPr="0012647F">
              <w:rPr>
                <w:rFonts w:eastAsia="Times New Roman"/>
                <w:b/>
                <w:bCs/>
                <w:color w:val="00B050"/>
                <w:sz w:val="28"/>
                <w:szCs w:val="28"/>
                <w:lang w:val="en-150" w:eastAsia="en-150"/>
              </w:rPr>
              <w:t>Yes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67511" w14:textId="77777777" w:rsidR="0012647F" w:rsidRPr="0012647F" w:rsidRDefault="0012647F" w:rsidP="0012647F">
            <w:pPr>
              <w:spacing w:after="0"/>
              <w:jc w:val="left"/>
              <w:rPr>
                <w:rFonts w:eastAsia="Times New Roman"/>
                <w:b/>
                <w:bCs/>
                <w:color w:val="FF0000"/>
                <w:sz w:val="28"/>
                <w:szCs w:val="28"/>
                <w:lang w:val="en-150" w:eastAsia="en-150"/>
              </w:rPr>
            </w:pPr>
            <w:r w:rsidRPr="0012647F">
              <w:rPr>
                <w:rFonts w:eastAsia="Times New Roman"/>
                <w:b/>
                <w:bCs/>
                <w:color w:val="FF0000"/>
                <w:sz w:val="28"/>
                <w:szCs w:val="28"/>
                <w:lang w:val="en-150" w:eastAsia="en-150"/>
              </w:rPr>
              <w:t>No</w:t>
            </w:r>
          </w:p>
        </w:tc>
      </w:tr>
    </w:tbl>
    <w:p w14:paraId="402B977B" w14:textId="1413AD26" w:rsidR="0012647F" w:rsidRDefault="0012647F"/>
    <w:p w14:paraId="51E636B6" w14:textId="07CDCEE5" w:rsidR="005E5112" w:rsidRDefault="005E5112">
      <w:pPr>
        <w:spacing w:after="160" w:line="259" w:lineRule="auto"/>
        <w:jc w:val="left"/>
      </w:pPr>
      <w:r>
        <w:br w:type="page"/>
      </w:r>
    </w:p>
    <w:p w14:paraId="7D86D472" w14:textId="4EC1CA79" w:rsidR="005E5112" w:rsidRDefault="005E5112">
      <w:r>
        <w:lastRenderedPageBreak/>
        <w:t>CoP Agreement Template</w:t>
      </w:r>
    </w:p>
    <w:p w14:paraId="7CBABC4F" w14:textId="77777777" w:rsidR="005E5112" w:rsidRPr="005E5112" w:rsidRDefault="005E5112" w:rsidP="005E5112">
      <w:pPr>
        <w:rPr>
          <w:lang w:val="en-150"/>
        </w:rPr>
      </w:pPr>
      <w:r w:rsidRPr="005E5112">
        <w:t>Should include recognised CoP elements such as:</w:t>
      </w:r>
    </w:p>
    <w:p w14:paraId="22D72394" w14:textId="77777777" w:rsidR="005E5112" w:rsidRPr="005E5112" w:rsidRDefault="005E5112" w:rsidP="005E5112">
      <w:pPr>
        <w:numPr>
          <w:ilvl w:val="0"/>
          <w:numId w:val="5"/>
        </w:numPr>
        <w:rPr>
          <w:lang w:val="en-150"/>
        </w:rPr>
      </w:pPr>
      <w:r w:rsidRPr="005E5112">
        <w:rPr>
          <w:b/>
          <w:bCs/>
          <w:lang w:val="en-150"/>
        </w:rPr>
        <w:t>Mutual Engagement</w:t>
      </w:r>
      <w:r w:rsidRPr="005E5112">
        <w:rPr>
          <w:lang w:val="en-150"/>
        </w:rPr>
        <w:t>: Firstly, through participation in the community, members establish norms and build collaborative relationships; this is termed mutual engagement. These relationships are the ties that bind the members of the community together as a social entity.</w:t>
      </w:r>
    </w:p>
    <w:p w14:paraId="327CA86D" w14:textId="77777777" w:rsidR="005E5112" w:rsidRPr="005E5112" w:rsidRDefault="005E5112" w:rsidP="005E5112">
      <w:pPr>
        <w:numPr>
          <w:ilvl w:val="0"/>
          <w:numId w:val="6"/>
        </w:numPr>
        <w:rPr>
          <w:lang w:val="en-150"/>
        </w:rPr>
      </w:pPr>
      <w:r w:rsidRPr="005E5112">
        <w:rPr>
          <w:b/>
          <w:bCs/>
          <w:lang w:val="en-150"/>
        </w:rPr>
        <w:t>Joint Enterprise</w:t>
      </w:r>
      <w:r w:rsidRPr="005E5112">
        <w:rPr>
          <w:lang w:val="en-150"/>
        </w:rPr>
        <w:t>: Secondly, through their interactions, they create a shared understanding of what binds them together; this is termed the joint enterprise. The joint enterprise is (re)negotiated by its members and is sometimes referred to as the 'domain' of the community.</w:t>
      </w:r>
    </w:p>
    <w:p w14:paraId="73563842" w14:textId="77777777" w:rsidR="005E5112" w:rsidRPr="005E5112" w:rsidRDefault="005E5112" w:rsidP="005E5112">
      <w:pPr>
        <w:numPr>
          <w:ilvl w:val="0"/>
          <w:numId w:val="7"/>
        </w:numPr>
        <w:rPr>
          <w:lang w:val="en-150"/>
        </w:rPr>
      </w:pPr>
      <w:r w:rsidRPr="005E5112">
        <w:rPr>
          <w:b/>
          <w:bCs/>
          <w:lang w:val="en-150"/>
        </w:rPr>
        <w:t>Shared Repertoire</w:t>
      </w:r>
      <w:r w:rsidRPr="005E5112">
        <w:rPr>
          <w:lang w:val="en-150"/>
        </w:rPr>
        <w:t>: Finally, as part of its practice, the community produces a set of communal resources, which is termed their shared repertoire; this is used in the pursuit of their joint enterprise and can include both literal and symbolic meanings.</w:t>
      </w:r>
    </w:p>
    <w:p w14:paraId="7B816EF4" w14:textId="77777777" w:rsidR="005E5112" w:rsidRPr="005E5112" w:rsidRDefault="005E5112">
      <w:pPr>
        <w:rPr>
          <w:lang w:val="en-150"/>
        </w:rPr>
      </w:pPr>
    </w:p>
    <w:sectPr w:rsidR="005E5112" w:rsidRPr="005E51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Hilary Hanahoe" w:date="2020-03-18T17:05:00Z" w:initials="HH">
    <w:p w14:paraId="23393CBB" w14:textId="78DC9D22" w:rsidR="00AF6E2E" w:rsidRDefault="00AF6E2E">
      <w:pPr>
        <w:pStyle w:val="CommentText"/>
      </w:pPr>
      <w:r>
        <w:rPr>
          <w:rStyle w:val="CommentReference"/>
        </w:rPr>
        <w:annotationRef/>
      </w:r>
      <w:r>
        <w:t>Specific CoP attribute</w:t>
      </w:r>
    </w:p>
  </w:comment>
  <w:comment w:id="3" w:author="Hilary Hanahoe" w:date="2020-03-18T16:56:00Z" w:initials="HH">
    <w:p w14:paraId="0A89E456" w14:textId="07CD9562" w:rsidR="000F355F" w:rsidRPr="000F355F" w:rsidRDefault="00716437" w:rsidP="000F355F">
      <w:pPr>
        <w:numPr>
          <w:ilvl w:val="0"/>
          <w:numId w:val="4"/>
        </w:numPr>
        <w:shd w:val="clear" w:color="auto" w:fill="FFFFFF"/>
        <w:spacing w:before="100" w:beforeAutospacing="1" w:after="24"/>
        <w:ind w:left="384"/>
        <w:jc w:val="left"/>
        <w:rPr>
          <w:rFonts w:ascii="Arial" w:eastAsia="Times New Roman" w:hAnsi="Arial" w:cs="Arial"/>
          <w:color w:val="222222"/>
          <w:sz w:val="21"/>
          <w:szCs w:val="21"/>
          <w:lang w:val="en-150" w:eastAsia="en-150"/>
        </w:rPr>
      </w:pPr>
      <w:r>
        <w:rPr>
          <w:rStyle w:val="CommentReference"/>
        </w:rPr>
        <w:annotationRef/>
      </w:r>
      <w:r>
        <w:t>Template to be defined</w:t>
      </w:r>
      <w:r w:rsidR="000F355F">
        <w:t xml:space="preserve"> but should include recognised CoP elements such </w:t>
      </w:r>
      <w:proofErr w:type="gramStart"/>
      <w:r w:rsidR="000F355F">
        <w:t>as :</w:t>
      </w:r>
      <w:proofErr w:type="gramEnd"/>
      <w:r w:rsidR="000F355F" w:rsidRPr="000F355F">
        <w:rPr>
          <w:rFonts w:ascii="Arial" w:hAnsi="Arial" w:cs="Arial"/>
          <w:color w:val="222222"/>
          <w:sz w:val="21"/>
          <w:szCs w:val="21"/>
        </w:rPr>
        <w:t xml:space="preserve"> </w:t>
      </w:r>
      <w:r w:rsidR="000F355F" w:rsidRPr="000F355F">
        <w:rPr>
          <w:rFonts w:ascii="Arial" w:eastAsia="Times New Roman" w:hAnsi="Arial" w:cs="Arial"/>
          <w:color w:val="222222"/>
          <w:sz w:val="21"/>
          <w:szCs w:val="21"/>
          <w:lang w:val="en-150" w:eastAsia="en-150"/>
        </w:rPr>
        <w:t>Mutual Engagement: Firstly, through participation in the community, members establish norms and build collaborative relationships; this is termed mutual engagement. These relationships are the ties that bind the members of the community together as a social entity.</w:t>
      </w:r>
    </w:p>
    <w:p w14:paraId="6709664C" w14:textId="77777777" w:rsidR="000F355F" w:rsidRPr="000F355F" w:rsidRDefault="000F355F" w:rsidP="000F355F">
      <w:pPr>
        <w:numPr>
          <w:ilvl w:val="0"/>
          <w:numId w:val="4"/>
        </w:numPr>
        <w:shd w:val="clear" w:color="auto" w:fill="FFFFFF"/>
        <w:spacing w:before="100" w:beforeAutospacing="1" w:after="24"/>
        <w:ind w:left="384"/>
        <w:jc w:val="left"/>
        <w:rPr>
          <w:rFonts w:ascii="Arial" w:eastAsia="Times New Roman" w:hAnsi="Arial" w:cs="Arial"/>
          <w:color w:val="222222"/>
          <w:sz w:val="21"/>
          <w:szCs w:val="21"/>
          <w:lang w:val="en-150" w:eastAsia="en-150"/>
        </w:rPr>
      </w:pPr>
      <w:r w:rsidRPr="000F355F">
        <w:rPr>
          <w:rFonts w:ascii="Arial" w:eastAsia="Times New Roman" w:hAnsi="Arial" w:cs="Arial"/>
          <w:color w:val="222222"/>
          <w:sz w:val="21"/>
          <w:szCs w:val="21"/>
          <w:lang w:val="en-150" w:eastAsia="en-150"/>
        </w:rPr>
        <w:t>Joint Enterprise: Secondly, through their interactions, they create a shared understanding of what binds them together; this is termed the joint enterprise. The joint enterprise is (re)negotiated by its members and is sometimes referred to as the 'domain' of the community.</w:t>
      </w:r>
    </w:p>
    <w:p w14:paraId="6EA64E25" w14:textId="77777777" w:rsidR="000F355F" w:rsidRPr="000F355F" w:rsidRDefault="000F355F" w:rsidP="000F355F">
      <w:pPr>
        <w:numPr>
          <w:ilvl w:val="0"/>
          <w:numId w:val="4"/>
        </w:numPr>
        <w:shd w:val="clear" w:color="auto" w:fill="FFFFFF"/>
        <w:spacing w:before="100" w:beforeAutospacing="1" w:after="24"/>
        <w:ind w:left="384"/>
        <w:jc w:val="left"/>
        <w:rPr>
          <w:rFonts w:ascii="Arial" w:eastAsia="Times New Roman" w:hAnsi="Arial" w:cs="Arial"/>
          <w:color w:val="222222"/>
          <w:sz w:val="21"/>
          <w:szCs w:val="21"/>
          <w:lang w:val="en-150" w:eastAsia="en-150"/>
        </w:rPr>
      </w:pPr>
      <w:r w:rsidRPr="000F355F">
        <w:rPr>
          <w:rFonts w:ascii="Arial" w:eastAsia="Times New Roman" w:hAnsi="Arial" w:cs="Arial"/>
          <w:color w:val="222222"/>
          <w:sz w:val="21"/>
          <w:szCs w:val="21"/>
          <w:lang w:val="en-150" w:eastAsia="en-150"/>
        </w:rPr>
        <w:t>Shared Repertoire: Finally, as part of its practice, the community produces a set of communal resources, which is termed their shared repertoire; this is used in the pursuit of their joint enterprise and can include both literal and symbolic meanings.</w:t>
      </w:r>
    </w:p>
    <w:p w14:paraId="2A6AA11F" w14:textId="7D10C7CA" w:rsidR="00716437" w:rsidRPr="000F355F" w:rsidRDefault="00716437">
      <w:pPr>
        <w:pStyle w:val="CommentText"/>
        <w:rPr>
          <w:lang w:val="en-150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3393CBB" w15:done="0"/>
  <w15:commentEx w15:paraId="2A6AA11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393CBB" w16cid:durableId="221CD344"/>
  <w16cid:commentId w16cid:paraId="2A6AA11F" w16cid:durableId="221CD12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E3EDA"/>
    <w:multiLevelType w:val="hybridMultilevel"/>
    <w:tmpl w:val="F3D2518A"/>
    <w:lvl w:ilvl="0" w:tplc="8D0A5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9411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809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941B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5EF1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BAA6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B857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6814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84B1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F111816"/>
    <w:multiLevelType w:val="hybridMultilevel"/>
    <w:tmpl w:val="14DC7FCA"/>
    <w:lvl w:ilvl="0" w:tplc="3B5802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51D55"/>
    <w:multiLevelType w:val="hybridMultilevel"/>
    <w:tmpl w:val="10EA3EC8"/>
    <w:lvl w:ilvl="0" w:tplc="DB04C9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70EA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2613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BCA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D097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8A5B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2447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A223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C487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7FC2A05"/>
    <w:multiLevelType w:val="hybridMultilevel"/>
    <w:tmpl w:val="867A95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9503FA"/>
    <w:multiLevelType w:val="multilevel"/>
    <w:tmpl w:val="8200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1F690E"/>
    <w:multiLevelType w:val="hybridMultilevel"/>
    <w:tmpl w:val="3B7083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A03A93"/>
    <w:multiLevelType w:val="hybridMultilevel"/>
    <w:tmpl w:val="D6E45F9E"/>
    <w:lvl w:ilvl="0" w:tplc="CDB8A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9890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9020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FCB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4E9B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7C94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F894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4A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80C1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ilary Hanahoe">
    <w15:presenceInfo w15:providerId="Windows Live" w15:userId="4f620726c0242f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FB"/>
    <w:rsid w:val="000F355F"/>
    <w:rsid w:val="0012647F"/>
    <w:rsid w:val="005D7CFB"/>
    <w:rsid w:val="005E5112"/>
    <w:rsid w:val="00645654"/>
    <w:rsid w:val="00716437"/>
    <w:rsid w:val="00884432"/>
    <w:rsid w:val="00A70C13"/>
    <w:rsid w:val="00AF6E2E"/>
    <w:rsid w:val="00D8444A"/>
    <w:rsid w:val="00EB2119"/>
    <w:rsid w:val="00F2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39DCBD"/>
  <w15:chartTrackingRefBased/>
  <w15:docId w15:val="{9B8B904A-BD22-4400-AAF9-7109A8F9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150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D7CFB"/>
    <w:pPr>
      <w:spacing w:after="120" w:line="240" w:lineRule="auto"/>
      <w:jc w:val="both"/>
    </w:pPr>
    <w:rPr>
      <w:rFonts w:ascii="Calibri" w:eastAsia="Calibri" w:hAnsi="Calibri" w:cs="Calibri"/>
      <w:lang w:val="en-GB"/>
    </w:rPr>
  </w:style>
  <w:style w:type="paragraph" w:styleId="Heading2">
    <w:name w:val="heading 2"/>
    <w:basedOn w:val="Normal"/>
    <w:next w:val="Normal"/>
    <w:link w:val="Heading2Char"/>
    <w:rsid w:val="005D7CFB"/>
    <w:pPr>
      <w:keepNext/>
      <w:keepLines/>
      <w:spacing w:before="200" w:after="60"/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D7CFB"/>
    <w:rPr>
      <w:rFonts w:ascii="Calibri" w:eastAsia="Calibri" w:hAnsi="Calibri" w:cs="Calibri"/>
      <w:b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D7C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6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4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437"/>
    <w:rPr>
      <w:rFonts w:ascii="Calibri" w:eastAsia="Calibri" w:hAnsi="Calibri" w:cs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437"/>
    <w:rPr>
      <w:rFonts w:ascii="Calibri" w:eastAsia="Calibri" w:hAnsi="Calibri" w:cs="Calibri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43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437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8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3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708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Hanahoe</dc:creator>
  <cp:keywords/>
  <dc:description/>
  <cp:lastModifiedBy>Hilary Hanahoe</cp:lastModifiedBy>
  <cp:revision>11</cp:revision>
  <dcterms:created xsi:type="dcterms:W3CDTF">2020-03-18T15:51:00Z</dcterms:created>
  <dcterms:modified xsi:type="dcterms:W3CDTF">2020-03-18T17:13:00Z</dcterms:modified>
</cp:coreProperties>
</file>